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3A8" w:rsidRDefault="00F10680">
      <w:pPr>
        <w:spacing w:after="0" w:line="259" w:lineRule="auto"/>
        <w:ind w:left="0" w:firstLine="0"/>
      </w:pPr>
      <w:r>
        <w:rPr>
          <w:b/>
          <w:sz w:val="32"/>
        </w:rPr>
        <w:t xml:space="preserve">TEACHER NOTES </w:t>
      </w:r>
    </w:p>
    <w:p w:rsidR="00FF73A8" w:rsidRDefault="00F10680">
      <w:pPr>
        <w:spacing w:after="0" w:line="259" w:lineRule="auto"/>
        <w:ind w:left="0" w:firstLine="0"/>
      </w:pPr>
      <w:r>
        <w:rPr>
          <w:b/>
          <w:sz w:val="32"/>
        </w:rPr>
        <w:t xml:space="preserve"> </w:t>
      </w:r>
    </w:p>
    <w:p w:rsidR="00FF73A8" w:rsidRDefault="00F10680">
      <w:pPr>
        <w:spacing w:after="0" w:line="259" w:lineRule="auto"/>
        <w:ind w:left="-5" w:hanging="10"/>
      </w:pPr>
      <w:r>
        <w:rPr>
          <w:b/>
          <w:sz w:val="28"/>
        </w:rPr>
        <w:t xml:space="preserve">LAB ADV </w:t>
      </w:r>
      <w:r w:rsidR="00ED61C6">
        <w:rPr>
          <w:b/>
          <w:sz w:val="28"/>
        </w:rPr>
        <w:t xml:space="preserve">LQ </w:t>
      </w:r>
      <w:bookmarkStart w:id="0" w:name="_GoBack"/>
      <w:bookmarkEnd w:id="0"/>
      <w:r>
        <w:rPr>
          <w:b/>
          <w:sz w:val="28"/>
        </w:rPr>
        <w:t xml:space="preserve">25 </w:t>
      </w:r>
    </w:p>
    <w:p w:rsidR="00FF73A8" w:rsidRDefault="00F10680">
      <w:pPr>
        <w:ind w:left="-15" w:right="142" w:firstLine="0"/>
      </w:pPr>
      <w:r>
        <w:t xml:space="preserve">From </w:t>
      </w:r>
      <w:r>
        <w:rPr>
          <w:i/>
        </w:rPr>
        <w:t xml:space="preserve">Advanced Chemistry with Vernier, </w:t>
      </w:r>
      <w:r>
        <w:t xml:space="preserve">Vernier Software &amp; Technology, 2004 </w:t>
      </w:r>
    </w:p>
    <w:p w:rsidR="00FF73A8" w:rsidRDefault="00F10680">
      <w:pPr>
        <w:spacing w:after="16" w:line="259" w:lineRule="auto"/>
        <w:ind w:left="0" w:firstLine="0"/>
      </w:pPr>
      <w:r>
        <w:t xml:space="preserve"> </w:t>
      </w:r>
    </w:p>
    <w:p w:rsidR="00FF73A8" w:rsidRDefault="00F10680">
      <w:pPr>
        <w:pStyle w:val="Heading1"/>
        <w:ind w:left="-5"/>
      </w:pPr>
      <w:r>
        <w:t xml:space="preserve">INTRODUCTION </w:t>
      </w:r>
    </w:p>
    <w:p w:rsidR="00FF73A8" w:rsidRDefault="00F10680">
      <w:pPr>
        <w:spacing w:after="0" w:line="259" w:lineRule="auto"/>
        <w:ind w:left="0" w:firstLine="0"/>
      </w:pPr>
      <w:r>
        <w:t xml:space="preserve"> </w:t>
      </w:r>
    </w:p>
    <w:p w:rsidR="00FF73A8" w:rsidRDefault="00F10680">
      <w:pPr>
        <w:numPr>
          <w:ilvl w:val="0"/>
          <w:numId w:val="1"/>
        </w:numPr>
        <w:ind w:right="142" w:hanging="360"/>
      </w:pPr>
      <w:r>
        <w:t xml:space="preserve">The light source for the reaction is either 430 nm or 470 nm.  The nearly monochromatic blue light is absorbed by the solution. </w:t>
      </w:r>
    </w:p>
    <w:p w:rsidR="00ED61C6" w:rsidRDefault="00ED61C6" w:rsidP="00ED61C6">
      <w:pPr>
        <w:pStyle w:val="ListParagraph"/>
        <w:numPr>
          <w:ilvl w:val="0"/>
          <w:numId w:val="1"/>
        </w:numPr>
        <w:tabs>
          <w:tab w:val="left" w:pos="770"/>
        </w:tabs>
        <w:spacing w:line="220" w:lineRule="auto"/>
        <w:ind w:right="710"/>
        <w:rPr>
          <w:sz w:val="24"/>
        </w:rPr>
      </w:pPr>
      <w:r>
        <w:rPr>
          <w:sz w:val="24"/>
        </w:rPr>
        <w:t>When using a Spectrometer, we recommend choosing a wavelength very near 430 nm. However, other wavelengths from 420–480 nm can provide suitable results.</w:t>
      </w:r>
    </w:p>
    <w:p w:rsidR="00FF73A8" w:rsidRDefault="00F10680">
      <w:pPr>
        <w:numPr>
          <w:ilvl w:val="0"/>
          <w:numId w:val="1"/>
        </w:numPr>
        <w:ind w:right="142" w:hanging="360"/>
      </w:pPr>
      <w:r>
        <w:t xml:space="preserve">Prepare 100 mL of 0.020 M potassium iodide solution by dissolving 0.33 g of solid KI in sufficient distilled water to make 100 mL of solution. </w:t>
      </w:r>
    </w:p>
    <w:p w:rsidR="00FF73A8" w:rsidRDefault="00F10680">
      <w:pPr>
        <w:spacing w:after="0" w:line="259" w:lineRule="auto"/>
        <w:ind w:left="0" w:firstLine="0"/>
      </w:pPr>
      <w:r>
        <w:t xml:space="preserve"> </w:t>
      </w:r>
    </w:p>
    <w:p w:rsidR="00FF73A8" w:rsidRDefault="00F10680">
      <w:pPr>
        <w:numPr>
          <w:ilvl w:val="0"/>
          <w:numId w:val="1"/>
        </w:numPr>
        <w:ind w:right="142" w:hanging="360"/>
      </w:pPr>
      <w:r>
        <w:t>Prepare 100 mL of 0.020 M iron (III) chloride solution by dissolving 0.54 g of solid FeCI</w:t>
      </w:r>
      <w:r>
        <w:rPr>
          <w:vertAlign w:val="subscript"/>
        </w:rPr>
        <w:t>3</w:t>
      </w:r>
      <w:r>
        <w:rPr>
          <w:rFonts w:ascii="Segoe UI Symbol" w:eastAsia="Segoe UI Symbol" w:hAnsi="Segoe UI Symbol" w:cs="Segoe UI Symbol"/>
        </w:rPr>
        <w:t>•</w:t>
      </w:r>
      <w:r>
        <w:t>6H</w:t>
      </w:r>
      <w:r>
        <w:rPr>
          <w:vertAlign w:val="subscript"/>
        </w:rPr>
        <w:t>2</w:t>
      </w:r>
      <w:r>
        <w:t xml:space="preserve">O in sufficient distilled water to make 100 mL of solution. </w:t>
      </w:r>
    </w:p>
    <w:p w:rsidR="00FF73A8" w:rsidRDefault="00F10680">
      <w:pPr>
        <w:spacing w:after="0" w:line="259" w:lineRule="auto"/>
        <w:ind w:left="0" w:firstLine="0"/>
      </w:pPr>
      <w:r>
        <w:t xml:space="preserve"> </w:t>
      </w:r>
    </w:p>
    <w:p w:rsidR="00FF73A8" w:rsidRDefault="00F10680">
      <w:pPr>
        <w:numPr>
          <w:ilvl w:val="0"/>
          <w:numId w:val="1"/>
        </w:numPr>
        <w:ind w:right="142" w:hanging="360"/>
      </w:pPr>
      <w:r>
        <w:t xml:space="preserve">The cuvettes should be at least ¾ full to make precise absorbance measurements. </w:t>
      </w:r>
    </w:p>
    <w:p w:rsidR="00FF73A8" w:rsidRDefault="00F10680">
      <w:pPr>
        <w:spacing w:after="0" w:line="259" w:lineRule="auto"/>
        <w:ind w:left="0" w:firstLine="0"/>
      </w:pPr>
      <w:r>
        <w:t xml:space="preserve"> </w:t>
      </w:r>
    </w:p>
    <w:p w:rsidR="00FF73A8" w:rsidRDefault="00F10680">
      <w:pPr>
        <w:numPr>
          <w:ilvl w:val="0"/>
          <w:numId w:val="1"/>
        </w:numPr>
        <w:ind w:right="142" w:hanging="360"/>
      </w:pPr>
      <w:r>
        <w:t>We recommend that each student lab team use a single cuvette to test their liquids in the Colorimeter</w:t>
      </w:r>
      <w:r w:rsidR="00ED61C6">
        <w:t xml:space="preserve"> or Spectrometer</w:t>
      </w:r>
      <w:r>
        <w:t xml:space="preserve">.  This will eliminate errors introduced by slight variations in the absorbance of different plastic cuvettes. </w:t>
      </w:r>
    </w:p>
    <w:p w:rsidR="00FF73A8" w:rsidRDefault="00F10680">
      <w:pPr>
        <w:spacing w:after="0" w:line="259" w:lineRule="auto"/>
        <w:ind w:left="0" w:firstLine="0"/>
      </w:pPr>
      <w:r>
        <w:t xml:space="preserve"> </w:t>
      </w:r>
    </w:p>
    <w:p w:rsidR="00FF73A8" w:rsidRDefault="00F10680">
      <w:pPr>
        <w:numPr>
          <w:ilvl w:val="0"/>
          <w:numId w:val="1"/>
        </w:numPr>
        <w:ind w:right="142" w:hanging="360"/>
      </w:pPr>
      <w:r>
        <w:t xml:space="preserve">If you wish your students to study the relationship between % transmittance and absorbance in the spectrophotometric analysis, you will need at least one set of data on a computer running the Logger Pro software.  The measurements from the Colorimeter will be tabulated as both % transmittance and absorbance. At the end of the experiment, students can plot % transmittance </w:t>
      </w:r>
      <w:r>
        <w:rPr>
          <w:i/>
        </w:rPr>
        <w:t>vs.</w:t>
      </w:r>
      <w:r>
        <w:t xml:space="preserve"> absorbance or % transmittance </w:t>
      </w:r>
      <w:r>
        <w:rPr>
          <w:i/>
        </w:rPr>
        <w:t>vs.</w:t>
      </w:r>
      <w:r>
        <w:t xml:space="preserve"> concentration. </w:t>
      </w:r>
    </w:p>
    <w:p w:rsidR="00FF73A8" w:rsidRDefault="00F10680">
      <w:pPr>
        <w:spacing w:after="16" w:line="259" w:lineRule="auto"/>
        <w:ind w:left="0" w:firstLine="0"/>
      </w:pPr>
      <w:r>
        <w:t xml:space="preserve"> </w:t>
      </w:r>
    </w:p>
    <w:p w:rsidR="00FF73A8" w:rsidRDefault="00F10680">
      <w:pPr>
        <w:pStyle w:val="Heading1"/>
        <w:ind w:left="-5"/>
      </w:pPr>
      <w:r>
        <w:t xml:space="preserve">HAZARD ALERTS </w:t>
      </w:r>
    </w:p>
    <w:p w:rsidR="00FF73A8" w:rsidRDefault="00F10680">
      <w:pPr>
        <w:spacing w:after="0" w:line="259" w:lineRule="auto"/>
        <w:ind w:left="0" w:firstLine="0"/>
      </w:pPr>
      <w:r>
        <w:rPr>
          <w:b/>
          <w:sz w:val="28"/>
        </w:rPr>
        <w:t xml:space="preserve"> </w:t>
      </w:r>
    </w:p>
    <w:p w:rsidR="00FF73A8" w:rsidRDefault="00F10680">
      <w:pPr>
        <w:ind w:left="-15" w:right="142" w:firstLine="0"/>
      </w:pPr>
      <w:r>
        <w:t xml:space="preserve">Iron (III) chloride solution (ferric chloride):  May be a skin/tissue irritant.  Hazard Code:  D—Relatively non-hazardous. </w:t>
      </w:r>
    </w:p>
    <w:p w:rsidR="00ED61C6" w:rsidRDefault="00ED61C6">
      <w:pPr>
        <w:ind w:left="-15" w:right="142" w:firstLine="0"/>
      </w:pPr>
      <w:r>
        <w:t xml:space="preserve">Hydrochloric Acid : Causes severe skin and eye damage.  Do not breathe mist, vapors or spray.  </w:t>
      </w:r>
    </w:p>
    <w:p w:rsidR="00ED61C6" w:rsidRDefault="00ED61C6">
      <w:pPr>
        <w:ind w:left="-15" w:right="142" w:firstLine="0"/>
      </w:pPr>
      <w:r>
        <w:t xml:space="preserve">Potassium Iodide:  Do not eat or drink when using this product.  Harmful if swallowed.  </w:t>
      </w:r>
    </w:p>
    <w:p w:rsidR="00FF73A8" w:rsidRDefault="00F10680">
      <w:pPr>
        <w:spacing w:after="0" w:line="259" w:lineRule="auto"/>
        <w:ind w:left="0" w:firstLine="0"/>
      </w:pPr>
      <w:r>
        <w:t xml:space="preserve"> </w:t>
      </w:r>
    </w:p>
    <w:p w:rsidR="00FF73A8" w:rsidRDefault="00F10680">
      <w:pPr>
        <w:ind w:left="-15" w:right="142" w:firstLine="0"/>
      </w:pPr>
      <w:r>
        <w:t xml:space="preserve">The hazard information reference is:  Flinn Scientific, Inc., </w:t>
      </w:r>
      <w:r>
        <w:rPr>
          <w:i/>
        </w:rPr>
        <w:t xml:space="preserve">Chemical and  Biological Catalog Reference Manual, </w:t>
      </w:r>
      <w:r>
        <w:t xml:space="preserve">P.O.  Box 219, Batavia, IL  60510. </w:t>
      </w:r>
    </w:p>
    <w:p w:rsidR="00FF73A8" w:rsidRDefault="00F10680">
      <w:pPr>
        <w:spacing w:after="16" w:line="259" w:lineRule="auto"/>
        <w:ind w:left="0" w:firstLine="0"/>
      </w:pPr>
      <w:r>
        <w:t xml:space="preserve"> </w:t>
      </w:r>
    </w:p>
    <w:p w:rsidR="00FF73A8" w:rsidRDefault="00F10680">
      <w:pPr>
        <w:pStyle w:val="Heading1"/>
        <w:ind w:left="-5"/>
      </w:pPr>
      <w:r>
        <w:lastRenderedPageBreak/>
        <w:t xml:space="preserve">ANSWERS TO THE DATA ANALYSIS QUESTIONS </w:t>
      </w:r>
    </w:p>
    <w:p w:rsidR="00FF73A8" w:rsidRDefault="00F10680">
      <w:pPr>
        <w:spacing w:after="0" w:line="259" w:lineRule="auto"/>
        <w:ind w:left="0" w:firstLine="0"/>
      </w:pPr>
      <w:r>
        <w:rPr>
          <w:b/>
          <w:sz w:val="28"/>
        </w:rPr>
        <w:t xml:space="preserve"> </w:t>
      </w:r>
    </w:p>
    <w:p w:rsidR="00FF73A8" w:rsidRDefault="00F10680">
      <w:pPr>
        <w:numPr>
          <w:ilvl w:val="0"/>
          <w:numId w:val="2"/>
        </w:numPr>
        <w:ind w:right="142" w:hanging="300"/>
      </w:pPr>
      <w:r>
        <w:t>Answers will vary.  Common explanations will emphasize the need to determined the moles of each substance and the total volume of the reaction mixture to calculate initial molarities of I</w:t>
      </w:r>
      <w:r>
        <w:rPr>
          <w:vertAlign w:val="superscript"/>
        </w:rPr>
        <w:t>-</w:t>
      </w:r>
      <w:r>
        <w:t xml:space="preserve"> and Fe</w:t>
      </w:r>
      <w:r>
        <w:rPr>
          <w:vertAlign w:val="superscript"/>
        </w:rPr>
        <w:t>3+</w:t>
      </w:r>
      <w:r>
        <w:t xml:space="preserve"> ions.   This also may be shown in an example calculation, as seen below.   </w:t>
      </w:r>
    </w:p>
    <w:p w:rsidR="00FF73A8" w:rsidRDefault="00F10680">
      <w:pPr>
        <w:spacing w:after="16" w:line="259" w:lineRule="auto"/>
        <w:ind w:left="0" w:firstLine="0"/>
      </w:pPr>
      <w:r>
        <w:t xml:space="preserve"> </w:t>
      </w:r>
    </w:p>
    <w:p w:rsidR="00FF73A8" w:rsidRDefault="00F10680">
      <w:pPr>
        <w:tabs>
          <w:tab w:val="center" w:pos="360"/>
          <w:tab w:val="center" w:pos="3898"/>
        </w:tabs>
        <w:ind w:left="-15" w:firstLine="0"/>
      </w:pPr>
      <w:r>
        <w:t xml:space="preserve"> </w:t>
      </w:r>
      <w:r>
        <w:tab/>
        <w:t xml:space="preserve"> </w:t>
      </w:r>
      <w:r>
        <w:tab/>
        <w:t>Trial 1:  [I</w:t>
      </w:r>
      <w:r>
        <w:rPr>
          <w:vertAlign w:val="superscript"/>
        </w:rPr>
        <w:t>-</w:t>
      </w:r>
      <w:r>
        <w:t>] and [Fe</w:t>
      </w:r>
      <w:r>
        <w:rPr>
          <w:vertAlign w:val="superscript"/>
        </w:rPr>
        <w:t>3+</w:t>
      </w:r>
      <w:r>
        <w:t xml:space="preserve">] = {(0.02 M) (0.20 L)} </w:t>
      </w:r>
      <w:r>
        <w:rPr>
          <w:rFonts w:ascii="Segoe UI Symbol" w:eastAsia="Segoe UI Symbol" w:hAnsi="Segoe UI Symbol" w:cs="Segoe UI Symbol"/>
        </w:rPr>
        <w:t>÷</w:t>
      </w:r>
      <w:r>
        <w:t xml:space="preserve">0.040 L = 0.010 M </w:t>
      </w:r>
    </w:p>
    <w:p w:rsidR="00FF73A8" w:rsidRDefault="00F10680">
      <w:pPr>
        <w:spacing w:after="0" w:line="259" w:lineRule="auto"/>
        <w:ind w:left="0" w:firstLine="0"/>
      </w:pPr>
      <w:r>
        <w:t xml:space="preserve"> </w:t>
      </w:r>
    </w:p>
    <w:p w:rsidR="00FF73A8" w:rsidRDefault="00F10680">
      <w:pPr>
        <w:numPr>
          <w:ilvl w:val="0"/>
          <w:numId w:val="2"/>
        </w:numPr>
        <w:ind w:right="142" w:hanging="300"/>
      </w:pPr>
      <w:r>
        <w:t>The order of the reaction is first in KI or I</w:t>
      </w:r>
      <w:r>
        <w:rPr>
          <w:vertAlign w:val="superscript"/>
        </w:rPr>
        <w:t>-</w:t>
      </w:r>
      <w:r>
        <w:t>, and zero order in FeCl</w:t>
      </w:r>
      <w:r>
        <w:rPr>
          <w:vertAlign w:val="subscript"/>
        </w:rPr>
        <w:t>3</w:t>
      </w:r>
      <w:r>
        <w:t>, or Fe</w:t>
      </w:r>
      <w:r>
        <w:rPr>
          <w:vertAlign w:val="superscript"/>
        </w:rPr>
        <w:t>3+</w:t>
      </w:r>
      <w:r>
        <w:t>.  By comparing Trials 1 and 2 along with Trials 1 and 4 in the sample results, it is evident that the concentration of I</w:t>
      </w:r>
      <w:r>
        <w:rPr>
          <w:vertAlign w:val="superscript"/>
        </w:rPr>
        <w:t>-</w:t>
      </w:r>
      <w:r>
        <w:t xml:space="preserve"> affects the initial rate proportionally.  While Trials 1 and 3 make a case for the reaction also being first order in Fe</w:t>
      </w:r>
      <w:r>
        <w:rPr>
          <w:vertAlign w:val="superscript"/>
        </w:rPr>
        <w:t>3+</w:t>
      </w:r>
      <w:r>
        <w:t xml:space="preserve">, the results of the other trials do not support it. </w:t>
      </w:r>
    </w:p>
    <w:p w:rsidR="00FF73A8" w:rsidRDefault="00F10680">
      <w:pPr>
        <w:spacing w:after="0" w:line="259" w:lineRule="auto"/>
        <w:ind w:left="0" w:firstLine="0"/>
      </w:pPr>
      <w:r>
        <w:t xml:space="preserve"> </w:t>
      </w:r>
    </w:p>
    <w:p w:rsidR="00FF73A8" w:rsidRDefault="00F10680">
      <w:pPr>
        <w:numPr>
          <w:ilvl w:val="0"/>
          <w:numId w:val="2"/>
        </w:numPr>
        <w:ind w:right="142" w:hanging="300"/>
      </w:pPr>
      <w:r>
        <w:t>The rate law for the reaction between FeCl</w:t>
      </w:r>
      <w:r>
        <w:rPr>
          <w:vertAlign w:val="subscript"/>
        </w:rPr>
        <w:t xml:space="preserve">3 </w:t>
      </w:r>
      <w:r>
        <w:t xml:space="preserve">and KI at room temperature is:   </w:t>
      </w:r>
    </w:p>
    <w:p w:rsidR="00FF73A8" w:rsidRDefault="00F10680">
      <w:pPr>
        <w:tabs>
          <w:tab w:val="center" w:pos="897"/>
        </w:tabs>
        <w:ind w:left="-15" w:firstLine="0"/>
      </w:pPr>
      <w:r>
        <w:t xml:space="preserve"> </w:t>
      </w:r>
      <w:r>
        <w:tab/>
        <w:t xml:space="preserve">rate = </w:t>
      </w:r>
      <w:r>
        <w:rPr>
          <w:i/>
        </w:rPr>
        <w:t>k</w:t>
      </w:r>
      <w:r>
        <w:t>[I</w:t>
      </w:r>
      <w:r>
        <w:rPr>
          <w:vertAlign w:val="superscript"/>
        </w:rPr>
        <w:t>-</w:t>
      </w:r>
      <w:r>
        <w:t xml:space="preserve">]. </w:t>
      </w:r>
    </w:p>
    <w:p w:rsidR="00FF73A8" w:rsidRDefault="00F10680">
      <w:pPr>
        <w:spacing w:after="0" w:line="259" w:lineRule="auto"/>
        <w:ind w:left="0" w:firstLine="0"/>
      </w:pPr>
      <w:r>
        <w:t xml:space="preserve"> </w:t>
      </w:r>
    </w:p>
    <w:p w:rsidR="00FF73A8" w:rsidRDefault="00F10680">
      <w:pPr>
        <w:numPr>
          <w:ilvl w:val="0"/>
          <w:numId w:val="2"/>
        </w:numPr>
        <w:ind w:right="142" w:hanging="300"/>
      </w:pPr>
      <w:r>
        <w:t xml:space="preserve">It is not possible to calculate a rate constant, </w:t>
      </w:r>
      <w:r>
        <w:rPr>
          <w:i/>
        </w:rPr>
        <w:t>k</w:t>
      </w:r>
      <w:r>
        <w:t xml:space="preserve">, from the experimental data. The experiment, as conducted, allowed the student to collect just enough data to determined initial rates, but the reaction was not observed as it reached conclusion.  In addition, the temperature of the reaction was not monitored, thus any determination of a rate constant is not reliable. </w:t>
      </w:r>
    </w:p>
    <w:p w:rsidR="00FF73A8" w:rsidRDefault="00F10680">
      <w:pPr>
        <w:spacing w:after="0" w:line="259" w:lineRule="auto"/>
        <w:ind w:left="0" w:firstLine="0"/>
      </w:pPr>
      <w:r>
        <w:t xml:space="preserve"> </w:t>
      </w:r>
    </w:p>
    <w:p w:rsidR="00FF73A8" w:rsidRDefault="00F10680" w:rsidP="00ED61C6">
      <w:pPr>
        <w:spacing w:after="0" w:line="259" w:lineRule="auto"/>
        <w:ind w:left="0" w:firstLine="0"/>
      </w:pPr>
      <w:r>
        <w:t xml:space="preserve">  </w:t>
      </w:r>
    </w:p>
    <w:p w:rsidR="00FF73A8" w:rsidRDefault="00F10680">
      <w:pPr>
        <w:pStyle w:val="Heading1"/>
        <w:ind w:left="-5"/>
      </w:pPr>
      <w:r>
        <w:t xml:space="preserve">SAMPLE DATA </w:t>
      </w:r>
    </w:p>
    <w:p w:rsidR="00FF73A8" w:rsidRDefault="00F10680">
      <w:pPr>
        <w:spacing w:after="0" w:line="259" w:lineRule="auto"/>
        <w:ind w:left="0" w:firstLine="0"/>
      </w:pPr>
      <w:r>
        <w:rPr>
          <w:b/>
          <w:sz w:val="28"/>
        </w:rPr>
        <w:t xml:space="preserve"> </w:t>
      </w:r>
    </w:p>
    <w:tbl>
      <w:tblPr>
        <w:tblStyle w:val="TableGrid"/>
        <w:tblW w:w="5383" w:type="dxa"/>
        <w:tblInd w:w="1628" w:type="dxa"/>
        <w:tblCellMar>
          <w:top w:w="12" w:type="dxa"/>
          <w:left w:w="108" w:type="dxa"/>
          <w:right w:w="115" w:type="dxa"/>
        </w:tblCellMar>
        <w:tblLook w:val="04A0" w:firstRow="1" w:lastRow="0" w:firstColumn="1" w:lastColumn="0" w:noHBand="0" w:noVBand="1"/>
      </w:tblPr>
      <w:tblGrid>
        <w:gridCol w:w="1473"/>
        <w:gridCol w:w="1210"/>
        <w:gridCol w:w="1080"/>
        <w:gridCol w:w="1620"/>
      </w:tblGrid>
      <w:tr w:rsidR="00FF73A8">
        <w:trPr>
          <w:trHeight w:val="563"/>
        </w:trPr>
        <w:tc>
          <w:tcPr>
            <w:tcW w:w="1474"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7" w:firstLine="0"/>
              <w:jc w:val="center"/>
            </w:pPr>
            <w:r>
              <w:t xml:space="preserve">Trial </w:t>
            </w:r>
          </w:p>
        </w:tc>
        <w:tc>
          <w:tcPr>
            <w:tcW w:w="121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0" w:firstLine="0"/>
              <w:jc w:val="center"/>
            </w:pPr>
            <w:r>
              <w:t>[FeCI</w:t>
            </w:r>
            <w:r>
              <w:rPr>
                <w:vertAlign w:val="subscript"/>
              </w:rPr>
              <w:t>3</w:t>
            </w:r>
            <w:r>
              <w:t xml:space="preserve">] (M) </w:t>
            </w:r>
          </w:p>
        </w:tc>
        <w:tc>
          <w:tcPr>
            <w:tcW w:w="108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39" w:firstLine="0"/>
              <w:jc w:val="center"/>
            </w:pPr>
            <w:r>
              <w:t xml:space="preserve">[KI] (M) </w:t>
            </w:r>
          </w:p>
        </w:tc>
        <w:tc>
          <w:tcPr>
            <w:tcW w:w="162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12" w:firstLine="0"/>
              <w:jc w:val="center"/>
            </w:pPr>
            <w:r>
              <w:t>Initial rate (s</w:t>
            </w:r>
            <w:r>
              <w:rPr>
                <w:vertAlign w:val="superscript"/>
              </w:rPr>
              <w:t>-1</w:t>
            </w:r>
            <w:r>
              <w:t xml:space="preserve">) </w:t>
            </w:r>
          </w:p>
        </w:tc>
      </w:tr>
      <w:tr w:rsidR="00FF73A8">
        <w:trPr>
          <w:trHeight w:val="672"/>
        </w:trPr>
        <w:tc>
          <w:tcPr>
            <w:tcW w:w="1474"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5" w:firstLine="0"/>
              <w:jc w:val="center"/>
            </w:pPr>
            <w:r>
              <w:t xml:space="preserve"> </w:t>
            </w:r>
          </w:p>
          <w:p w:rsidR="00FF73A8" w:rsidRDefault="00F10680">
            <w:pPr>
              <w:spacing w:after="0" w:line="259" w:lineRule="auto"/>
              <w:ind w:left="5" w:firstLine="0"/>
              <w:jc w:val="center"/>
            </w:pPr>
            <w:r>
              <w:t xml:space="preserve">0.010 </w:t>
            </w:r>
          </w:p>
        </w:tc>
        <w:tc>
          <w:tcPr>
            <w:tcW w:w="108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0.010 </w:t>
            </w:r>
          </w:p>
        </w:tc>
        <w:tc>
          <w:tcPr>
            <w:tcW w:w="162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0.0028 </w:t>
            </w:r>
          </w:p>
        </w:tc>
      </w:tr>
      <w:tr w:rsidR="00FF73A8">
        <w:trPr>
          <w:trHeight w:val="720"/>
        </w:trPr>
        <w:tc>
          <w:tcPr>
            <w:tcW w:w="1474"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5" w:firstLine="0"/>
              <w:jc w:val="center"/>
            </w:pPr>
            <w:r>
              <w:t xml:space="preserve"> </w:t>
            </w:r>
          </w:p>
          <w:p w:rsidR="00FF73A8" w:rsidRDefault="00F10680">
            <w:pPr>
              <w:spacing w:after="0" w:line="259" w:lineRule="auto"/>
              <w:ind w:left="5" w:firstLine="0"/>
              <w:jc w:val="center"/>
            </w:pPr>
            <w:r>
              <w:t xml:space="preserve">0.010 </w:t>
            </w:r>
          </w:p>
        </w:tc>
        <w:tc>
          <w:tcPr>
            <w:tcW w:w="108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0.0050 </w:t>
            </w:r>
          </w:p>
        </w:tc>
        <w:tc>
          <w:tcPr>
            <w:tcW w:w="162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0.0015 </w:t>
            </w:r>
          </w:p>
        </w:tc>
      </w:tr>
      <w:tr w:rsidR="00FF73A8">
        <w:trPr>
          <w:trHeight w:val="720"/>
        </w:trPr>
        <w:tc>
          <w:tcPr>
            <w:tcW w:w="1474"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3 </w:t>
            </w:r>
          </w:p>
        </w:tc>
        <w:tc>
          <w:tcPr>
            <w:tcW w:w="121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5" w:firstLine="0"/>
              <w:jc w:val="center"/>
            </w:pPr>
            <w:r>
              <w:t xml:space="preserve"> </w:t>
            </w:r>
          </w:p>
          <w:p w:rsidR="00FF73A8" w:rsidRDefault="00F10680">
            <w:pPr>
              <w:spacing w:after="0" w:line="259" w:lineRule="auto"/>
              <w:ind w:left="5" w:firstLine="0"/>
              <w:jc w:val="center"/>
            </w:pPr>
            <w:r>
              <w:t xml:space="preserve">0.0050 </w:t>
            </w:r>
          </w:p>
        </w:tc>
        <w:tc>
          <w:tcPr>
            <w:tcW w:w="108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0.010 </w:t>
            </w:r>
          </w:p>
        </w:tc>
        <w:tc>
          <w:tcPr>
            <w:tcW w:w="162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0.0021 </w:t>
            </w:r>
          </w:p>
        </w:tc>
      </w:tr>
      <w:tr w:rsidR="00FF73A8">
        <w:trPr>
          <w:trHeight w:val="838"/>
        </w:trPr>
        <w:tc>
          <w:tcPr>
            <w:tcW w:w="1474"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4 </w:t>
            </w:r>
          </w:p>
          <w:p w:rsidR="00FF73A8" w:rsidRDefault="00F10680">
            <w:pPr>
              <w:spacing w:after="0" w:line="259" w:lineRule="auto"/>
              <w:ind w:left="67" w:firstLine="0"/>
              <w:jc w:val="center"/>
            </w:pPr>
            <w:r>
              <w:t xml:space="preserve"> </w:t>
            </w:r>
          </w:p>
        </w:tc>
        <w:tc>
          <w:tcPr>
            <w:tcW w:w="121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5" w:firstLine="0"/>
              <w:jc w:val="center"/>
            </w:pPr>
            <w:r>
              <w:t xml:space="preserve"> </w:t>
            </w:r>
          </w:p>
          <w:p w:rsidR="00FF73A8" w:rsidRDefault="00F10680">
            <w:pPr>
              <w:spacing w:after="0" w:line="259" w:lineRule="auto"/>
              <w:ind w:left="5" w:firstLine="0"/>
              <w:jc w:val="center"/>
            </w:pPr>
            <w:r>
              <w:t xml:space="preserve">0.0075 </w:t>
            </w:r>
          </w:p>
        </w:tc>
        <w:tc>
          <w:tcPr>
            <w:tcW w:w="108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0.0050 </w:t>
            </w:r>
          </w:p>
        </w:tc>
        <w:tc>
          <w:tcPr>
            <w:tcW w:w="162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0.0015 </w:t>
            </w:r>
          </w:p>
        </w:tc>
      </w:tr>
      <w:tr w:rsidR="00FF73A8">
        <w:trPr>
          <w:trHeight w:val="838"/>
        </w:trPr>
        <w:tc>
          <w:tcPr>
            <w:tcW w:w="1474"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5 </w:t>
            </w:r>
          </w:p>
          <w:p w:rsidR="00FF73A8" w:rsidRDefault="00F10680">
            <w:pPr>
              <w:spacing w:after="0" w:line="259" w:lineRule="auto"/>
              <w:ind w:left="67" w:firstLine="0"/>
              <w:jc w:val="center"/>
            </w:pPr>
            <w:r>
              <w:t xml:space="preserve"> </w:t>
            </w:r>
          </w:p>
        </w:tc>
        <w:tc>
          <w:tcPr>
            <w:tcW w:w="121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5" w:firstLine="0"/>
              <w:jc w:val="center"/>
            </w:pPr>
            <w:r>
              <w:t xml:space="preserve"> </w:t>
            </w:r>
          </w:p>
          <w:p w:rsidR="00FF73A8" w:rsidRDefault="00F10680">
            <w:pPr>
              <w:spacing w:after="0" w:line="259" w:lineRule="auto"/>
              <w:ind w:left="5" w:firstLine="0"/>
              <w:jc w:val="center"/>
            </w:pPr>
            <w:r>
              <w:t xml:space="preserve">0.0050 </w:t>
            </w:r>
          </w:p>
        </w:tc>
        <w:tc>
          <w:tcPr>
            <w:tcW w:w="108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0.0075 </w:t>
            </w:r>
          </w:p>
        </w:tc>
        <w:tc>
          <w:tcPr>
            <w:tcW w:w="162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0.0018 </w:t>
            </w:r>
          </w:p>
        </w:tc>
      </w:tr>
    </w:tbl>
    <w:p w:rsidR="00FF73A8" w:rsidRDefault="00F10680">
      <w:pPr>
        <w:spacing w:after="0" w:line="259" w:lineRule="auto"/>
        <w:ind w:left="0" w:firstLine="0"/>
      </w:pPr>
      <w:r>
        <w:lastRenderedPageBreak/>
        <w:t xml:space="preserve">  </w:t>
      </w:r>
    </w:p>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 </w:t>
      </w:r>
    </w:p>
    <w:p w:rsidR="00FF73A8" w:rsidRDefault="00F10680">
      <w:pPr>
        <w:spacing w:after="23" w:line="259" w:lineRule="auto"/>
        <w:ind w:left="0" w:firstLine="0"/>
      </w:pPr>
      <w:r>
        <w:t xml:space="preserve"> </w:t>
      </w:r>
      <w:r>
        <w:tab/>
        <w:t xml:space="preserve"> </w:t>
      </w:r>
    </w:p>
    <w:p w:rsidR="00FF73A8" w:rsidRDefault="00F10680">
      <w:pPr>
        <w:pStyle w:val="Heading1"/>
        <w:ind w:left="-5"/>
      </w:pPr>
      <w:r>
        <w:t xml:space="preserve">SAMPLE GRAPH </w:t>
      </w:r>
    </w:p>
    <w:p w:rsidR="00FF73A8" w:rsidRDefault="00F10680">
      <w:pPr>
        <w:spacing w:after="0" w:line="259" w:lineRule="auto"/>
        <w:ind w:left="0" w:firstLine="0"/>
      </w:pPr>
      <w:r>
        <w:rPr>
          <w:b/>
          <w:sz w:val="28"/>
        </w:rPr>
        <w:t xml:space="preserve"> </w:t>
      </w:r>
    </w:p>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 </w:t>
      </w:r>
    </w:p>
    <w:p w:rsidR="00FF73A8" w:rsidRDefault="00F10680">
      <w:pPr>
        <w:spacing w:after="0" w:line="259" w:lineRule="auto"/>
        <w:ind w:left="0" w:firstLine="0"/>
        <w:jc w:val="right"/>
      </w:pPr>
      <w:r>
        <w:rPr>
          <w:noProof/>
        </w:rPr>
        <w:drawing>
          <wp:inline distT="0" distB="0" distL="0" distR="0">
            <wp:extent cx="5551932" cy="4827270"/>
            <wp:effectExtent l="0" t="0" r="0" b="0"/>
            <wp:docPr id="352"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7"/>
                    <a:stretch>
                      <a:fillRect/>
                    </a:stretch>
                  </pic:blipFill>
                  <pic:spPr>
                    <a:xfrm>
                      <a:off x="0" y="0"/>
                      <a:ext cx="5551932" cy="4827270"/>
                    </a:xfrm>
                    <a:prstGeom prst="rect">
                      <a:avLst/>
                    </a:prstGeom>
                  </pic:spPr>
                </pic:pic>
              </a:graphicData>
            </a:graphic>
          </wp:inline>
        </w:drawing>
      </w:r>
      <w:r>
        <w:t xml:space="preserve"> </w:t>
      </w:r>
    </w:p>
    <w:sectPr w:rsidR="00FF73A8">
      <w:headerReference w:type="even" r:id="rId8"/>
      <w:headerReference w:type="default" r:id="rId9"/>
      <w:footerReference w:type="even" r:id="rId10"/>
      <w:footerReference w:type="default" r:id="rId11"/>
      <w:headerReference w:type="first" r:id="rId12"/>
      <w:footerReference w:type="first" r:id="rId13"/>
      <w:pgSz w:w="12240" w:h="15840"/>
      <w:pgMar w:top="1447" w:right="1637" w:bottom="1492" w:left="1800" w:header="729"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92D" w:rsidRDefault="003D692D">
      <w:pPr>
        <w:spacing w:after="0" w:line="240" w:lineRule="auto"/>
      </w:pPr>
      <w:r>
        <w:separator/>
      </w:r>
    </w:p>
  </w:endnote>
  <w:endnote w:type="continuationSeparator" w:id="0">
    <w:p w:rsidR="003D692D" w:rsidRDefault="003D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3A8" w:rsidRDefault="00F10680">
    <w:pPr>
      <w:spacing w:after="0" w:line="259" w:lineRule="auto"/>
      <w:ind w:left="0" w:firstLine="0"/>
      <w:jc w:val="both"/>
    </w:pPr>
    <w:r>
      <w:rPr>
        <w:u w:val="single" w:color="000000"/>
      </w:rPr>
      <w:t xml:space="preserve"> </w:t>
    </w:r>
    <w:r>
      <w:rPr>
        <w:u w:val="single" w:color="000000"/>
      </w:rPr>
      <w:tab/>
      <w:t xml:space="preserve"> </w:t>
    </w:r>
    <w:r>
      <w:rPr>
        <w:u w:val="single" w:color="000000"/>
      </w:rPr>
      <w:tab/>
    </w:r>
    <w:r>
      <w:t xml:space="preserve"> </w:t>
    </w:r>
  </w:p>
  <w:p w:rsidR="00FF73A8" w:rsidRDefault="00F10680">
    <w:pPr>
      <w:tabs>
        <w:tab w:val="center" w:pos="4319"/>
        <w:tab w:val="right" w:pos="8803"/>
      </w:tabs>
      <w:spacing w:after="0" w:line="259" w:lineRule="auto"/>
      <w:ind w:left="0" w:firstLine="0"/>
    </w:pPr>
    <w:r>
      <w:t xml:space="preserve">Westminster College SIM </w:t>
    </w:r>
    <w:r>
      <w:tab/>
      <w:t xml:space="preserve"> </w:t>
    </w:r>
    <w:r>
      <w:tab/>
      <w:t>T ADV COMP.25-</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3A8" w:rsidRDefault="00F10680">
    <w:pPr>
      <w:spacing w:after="0" w:line="259" w:lineRule="auto"/>
      <w:ind w:left="0" w:firstLine="0"/>
      <w:jc w:val="both"/>
    </w:pPr>
    <w:r>
      <w:rPr>
        <w:u w:val="single" w:color="000000"/>
      </w:rPr>
      <w:t xml:space="preserve"> </w:t>
    </w:r>
    <w:r>
      <w:rPr>
        <w:u w:val="single" w:color="000000"/>
      </w:rPr>
      <w:tab/>
      <w:t xml:space="preserve"> </w:t>
    </w:r>
    <w:r>
      <w:rPr>
        <w:u w:val="single" w:color="000000"/>
      </w:rPr>
      <w:tab/>
    </w:r>
    <w:r>
      <w:t xml:space="preserve"> </w:t>
    </w:r>
  </w:p>
  <w:p w:rsidR="00FF73A8" w:rsidRDefault="00F10680">
    <w:pPr>
      <w:tabs>
        <w:tab w:val="center" w:pos="4319"/>
        <w:tab w:val="right" w:pos="8803"/>
      </w:tabs>
      <w:spacing w:after="0" w:line="259" w:lineRule="auto"/>
      <w:ind w:left="0" w:firstLine="0"/>
    </w:pPr>
    <w:r>
      <w:t xml:space="preserve">Westminster College SIM </w:t>
    </w:r>
    <w:r>
      <w:tab/>
      <w:t xml:space="preserve"> </w:t>
    </w:r>
    <w:r>
      <w:tab/>
      <w:t>T ADV COMP.25-</w:t>
    </w:r>
    <w:r>
      <w:fldChar w:fldCharType="begin"/>
    </w:r>
    <w:r>
      <w:instrText xml:space="preserve"> PAGE   \* MERGEFORMAT </w:instrText>
    </w:r>
    <w:r>
      <w:fldChar w:fldCharType="separate"/>
    </w:r>
    <w:r>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3A8" w:rsidRDefault="00F10680">
    <w:pPr>
      <w:spacing w:after="0" w:line="259" w:lineRule="auto"/>
      <w:ind w:left="0" w:firstLine="0"/>
      <w:jc w:val="both"/>
    </w:pPr>
    <w:r>
      <w:rPr>
        <w:u w:val="single" w:color="000000"/>
      </w:rPr>
      <w:t xml:space="preserve"> </w:t>
    </w:r>
    <w:r>
      <w:rPr>
        <w:u w:val="single" w:color="000000"/>
      </w:rPr>
      <w:tab/>
      <w:t xml:space="preserve"> </w:t>
    </w:r>
    <w:r>
      <w:rPr>
        <w:u w:val="single" w:color="000000"/>
      </w:rPr>
      <w:tab/>
    </w:r>
    <w:r>
      <w:t xml:space="preserve"> </w:t>
    </w:r>
  </w:p>
  <w:p w:rsidR="00FF73A8" w:rsidRDefault="00F10680">
    <w:pPr>
      <w:tabs>
        <w:tab w:val="center" w:pos="4319"/>
        <w:tab w:val="right" w:pos="8803"/>
      </w:tabs>
      <w:spacing w:after="0" w:line="259" w:lineRule="auto"/>
      <w:ind w:left="0" w:firstLine="0"/>
    </w:pPr>
    <w:r>
      <w:t xml:space="preserve">Westminster College SIM </w:t>
    </w:r>
    <w:r>
      <w:tab/>
      <w:t xml:space="preserve"> </w:t>
    </w:r>
    <w:r>
      <w:tab/>
      <w:t>T ADV COMP.25-</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92D" w:rsidRDefault="003D692D">
      <w:pPr>
        <w:spacing w:after="0" w:line="240" w:lineRule="auto"/>
      </w:pPr>
      <w:r>
        <w:separator/>
      </w:r>
    </w:p>
  </w:footnote>
  <w:footnote w:type="continuationSeparator" w:id="0">
    <w:p w:rsidR="003D692D" w:rsidRDefault="003D6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3A8" w:rsidRDefault="00F10680">
    <w:pPr>
      <w:tabs>
        <w:tab w:val="right" w:pos="8803"/>
      </w:tabs>
      <w:spacing w:after="0" w:line="259" w:lineRule="auto"/>
      <w:ind w:left="0" w:firstLine="0"/>
    </w:pPr>
    <w:r>
      <w:rPr>
        <w:u w:val="single" w:color="000000"/>
      </w:rPr>
      <w:t xml:space="preserve"> </w:t>
    </w:r>
    <w:r>
      <w:rPr>
        <w:u w:val="single" w:color="000000"/>
      </w:rPr>
      <w:tab/>
    </w:r>
    <w:r>
      <w:rPr>
        <w:b/>
        <w:i/>
        <w:u w:val="single" w:color="000000"/>
      </w:rPr>
      <w:t>The Rate and Order of a Chemical Reaction</w:t>
    </w:r>
    <w:r>
      <w:rPr>
        <w:b/>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3A8" w:rsidRDefault="00F10680">
    <w:pPr>
      <w:tabs>
        <w:tab w:val="right" w:pos="8803"/>
      </w:tabs>
      <w:spacing w:after="0" w:line="259" w:lineRule="auto"/>
      <w:ind w:left="0" w:firstLine="0"/>
    </w:pPr>
    <w:r>
      <w:rPr>
        <w:u w:val="single" w:color="000000"/>
      </w:rPr>
      <w:t xml:space="preserve"> </w:t>
    </w:r>
    <w:r>
      <w:rPr>
        <w:u w:val="single" w:color="000000"/>
      </w:rPr>
      <w:tab/>
    </w:r>
    <w:r>
      <w:rPr>
        <w:b/>
        <w:i/>
        <w:u w:val="single" w:color="000000"/>
      </w:rPr>
      <w:t>The Rate and Order of a Chemical Reaction</w:t>
    </w:r>
    <w:r>
      <w:rPr>
        <w:b/>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3A8" w:rsidRDefault="00F10680">
    <w:pPr>
      <w:tabs>
        <w:tab w:val="right" w:pos="8803"/>
      </w:tabs>
      <w:spacing w:after="0" w:line="259" w:lineRule="auto"/>
      <w:ind w:left="0" w:firstLine="0"/>
    </w:pPr>
    <w:r>
      <w:rPr>
        <w:u w:val="single" w:color="000000"/>
      </w:rPr>
      <w:t xml:space="preserve"> </w:t>
    </w:r>
    <w:r>
      <w:rPr>
        <w:u w:val="single" w:color="000000"/>
      </w:rPr>
      <w:tab/>
    </w:r>
    <w:r>
      <w:rPr>
        <w:b/>
        <w:i/>
        <w:u w:val="single" w:color="000000"/>
      </w:rPr>
      <w:t>The Rate and Order of a Chemical Reaction</w:t>
    </w:r>
    <w:r>
      <w:rPr>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431D7"/>
    <w:multiLevelType w:val="hybridMultilevel"/>
    <w:tmpl w:val="A53EE458"/>
    <w:lvl w:ilvl="0" w:tplc="9230BD82">
      <w:start w:val="1"/>
      <w:numFmt w:val="decimal"/>
      <w:lvlText w:val="%1."/>
      <w:lvlJc w:val="left"/>
      <w:pPr>
        <w:ind w:left="770" w:hanging="330"/>
        <w:jc w:val="left"/>
      </w:pPr>
      <w:rPr>
        <w:rFonts w:ascii="Times New Roman" w:eastAsia="Times New Roman" w:hAnsi="Times New Roman" w:cs="Times New Roman" w:hint="default"/>
        <w:b w:val="0"/>
        <w:bCs w:val="0"/>
        <w:i w:val="0"/>
        <w:iCs w:val="0"/>
        <w:w w:val="100"/>
        <w:position w:val="1"/>
        <w:sz w:val="24"/>
        <w:szCs w:val="24"/>
        <w:lang w:val="en-US" w:eastAsia="en-US" w:bidi="ar-SA"/>
      </w:rPr>
    </w:lvl>
    <w:lvl w:ilvl="1" w:tplc="C5F4AD24">
      <w:numFmt w:val="bullet"/>
      <w:lvlText w:val="•"/>
      <w:lvlJc w:val="left"/>
      <w:pPr>
        <w:ind w:left="1690" w:hanging="330"/>
      </w:pPr>
      <w:rPr>
        <w:rFonts w:hint="default"/>
        <w:lang w:val="en-US" w:eastAsia="en-US" w:bidi="ar-SA"/>
      </w:rPr>
    </w:lvl>
    <w:lvl w:ilvl="2" w:tplc="E7A66D9C">
      <w:numFmt w:val="bullet"/>
      <w:lvlText w:val="•"/>
      <w:lvlJc w:val="left"/>
      <w:pPr>
        <w:ind w:left="2600" w:hanging="330"/>
      </w:pPr>
      <w:rPr>
        <w:rFonts w:hint="default"/>
        <w:lang w:val="en-US" w:eastAsia="en-US" w:bidi="ar-SA"/>
      </w:rPr>
    </w:lvl>
    <w:lvl w:ilvl="3" w:tplc="707004F8">
      <w:numFmt w:val="bullet"/>
      <w:lvlText w:val="•"/>
      <w:lvlJc w:val="left"/>
      <w:pPr>
        <w:ind w:left="3510" w:hanging="330"/>
      </w:pPr>
      <w:rPr>
        <w:rFonts w:hint="default"/>
        <w:lang w:val="en-US" w:eastAsia="en-US" w:bidi="ar-SA"/>
      </w:rPr>
    </w:lvl>
    <w:lvl w:ilvl="4" w:tplc="DCB46F44">
      <w:numFmt w:val="bullet"/>
      <w:lvlText w:val="•"/>
      <w:lvlJc w:val="left"/>
      <w:pPr>
        <w:ind w:left="4420" w:hanging="330"/>
      </w:pPr>
      <w:rPr>
        <w:rFonts w:hint="default"/>
        <w:lang w:val="en-US" w:eastAsia="en-US" w:bidi="ar-SA"/>
      </w:rPr>
    </w:lvl>
    <w:lvl w:ilvl="5" w:tplc="22DCA42C">
      <w:numFmt w:val="bullet"/>
      <w:lvlText w:val="•"/>
      <w:lvlJc w:val="left"/>
      <w:pPr>
        <w:ind w:left="5330" w:hanging="330"/>
      </w:pPr>
      <w:rPr>
        <w:rFonts w:hint="default"/>
        <w:lang w:val="en-US" w:eastAsia="en-US" w:bidi="ar-SA"/>
      </w:rPr>
    </w:lvl>
    <w:lvl w:ilvl="6" w:tplc="B060E638">
      <w:numFmt w:val="bullet"/>
      <w:lvlText w:val="•"/>
      <w:lvlJc w:val="left"/>
      <w:pPr>
        <w:ind w:left="6240" w:hanging="330"/>
      </w:pPr>
      <w:rPr>
        <w:rFonts w:hint="default"/>
        <w:lang w:val="en-US" w:eastAsia="en-US" w:bidi="ar-SA"/>
      </w:rPr>
    </w:lvl>
    <w:lvl w:ilvl="7" w:tplc="A0986C68">
      <w:numFmt w:val="bullet"/>
      <w:lvlText w:val="•"/>
      <w:lvlJc w:val="left"/>
      <w:pPr>
        <w:ind w:left="7150" w:hanging="330"/>
      </w:pPr>
      <w:rPr>
        <w:rFonts w:hint="default"/>
        <w:lang w:val="en-US" w:eastAsia="en-US" w:bidi="ar-SA"/>
      </w:rPr>
    </w:lvl>
    <w:lvl w:ilvl="8" w:tplc="41942C2A">
      <w:numFmt w:val="bullet"/>
      <w:lvlText w:val="•"/>
      <w:lvlJc w:val="left"/>
      <w:pPr>
        <w:ind w:left="8060" w:hanging="330"/>
      </w:pPr>
      <w:rPr>
        <w:rFonts w:hint="default"/>
        <w:lang w:val="en-US" w:eastAsia="en-US" w:bidi="ar-SA"/>
      </w:rPr>
    </w:lvl>
  </w:abstractNum>
  <w:abstractNum w:abstractNumId="1" w15:restartNumberingAfterBreak="0">
    <w:nsid w:val="7C995DD2"/>
    <w:multiLevelType w:val="hybridMultilevel"/>
    <w:tmpl w:val="2FC64662"/>
    <w:lvl w:ilvl="0" w:tplc="B08A16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4A4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8AA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4A6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66E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229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4640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B0EB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5A49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6B7D99"/>
    <w:multiLevelType w:val="hybridMultilevel"/>
    <w:tmpl w:val="77DE16B4"/>
    <w:lvl w:ilvl="0" w:tplc="55C85152">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A07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013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765B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0A11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E0E0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25E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7AEE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24F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3A8"/>
    <w:rsid w:val="00383AA1"/>
    <w:rsid w:val="003D692D"/>
    <w:rsid w:val="00ED61C6"/>
    <w:rsid w:val="00F10680"/>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0551D"/>
  <w15:docId w15:val="{38E50471-9B74-4708-9B93-E23A77A9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49" w:lineRule="auto"/>
      <w:ind w:left="37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ED61C6"/>
    <w:pPr>
      <w:widowControl w:val="0"/>
      <w:autoSpaceDE w:val="0"/>
      <w:autoSpaceDN w:val="0"/>
      <w:spacing w:before="227" w:after="0" w:line="240" w:lineRule="auto"/>
      <w:ind w:left="770" w:hanging="330"/>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TEACHER NOTES</vt:lpstr>
    </vt:vector>
  </TitlesOfParts>
  <Company>Westminster College</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NOTES</dc:title>
  <dc:subject/>
  <dc:creator>User</dc:creator>
  <cp:keywords/>
  <cp:lastModifiedBy>Lori S. Martin</cp:lastModifiedBy>
  <cp:revision>3</cp:revision>
  <cp:lastPrinted>2023-04-10T13:42:00Z</cp:lastPrinted>
  <dcterms:created xsi:type="dcterms:W3CDTF">2019-09-04T14:51:00Z</dcterms:created>
  <dcterms:modified xsi:type="dcterms:W3CDTF">2023-04-10T13:48:00Z</dcterms:modified>
</cp:coreProperties>
</file>