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28A26" w14:textId="4A0E2C77" w:rsidR="00B472F9" w:rsidRDefault="00B472F9" w:rsidP="00B472F9">
      <w:pPr>
        <w:shd w:val="clear" w:color="auto" w:fill="FFFFFF"/>
        <w:spacing w:after="600" w:line="240" w:lineRule="auto"/>
        <w:jc w:val="center"/>
        <w:outlineLvl w:val="0"/>
        <w:rPr>
          <w:rFonts w:ascii="Poppins" w:eastAsia="Times New Roman" w:hAnsi="Poppins" w:cs="Poppins"/>
          <w:b/>
          <w:bCs/>
          <w:color w:val="1B1B1B"/>
          <w:kern w:val="36"/>
          <w:sz w:val="33"/>
          <w:szCs w:val="33"/>
        </w:rPr>
      </w:pPr>
      <w:r w:rsidRPr="00B472F9">
        <w:rPr>
          <w:rFonts w:ascii="Poppins" w:eastAsia="Times New Roman" w:hAnsi="Poppins" w:cs="Poppins"/>
          <w:b/>
          <w:bCs/>
          <w:color w:val="1B1B1B"/>
          <w:kern w:val="36"/>
          <w:sz w:val="33"/>
          <w:szCs w:val="33"/>
        </w:rPr>
        <w:t>NEONATAL RESUSCITATION PROGRA</w:t>
      </w:r>
      <w:r>
        <w:rPr>
          <w:rFonts w:ascii="Poppins" w:eastAsia="Times New Roman" w:hAnsi="Poppins" w:cs="Poppins"/>
          <w:b/>
          <w:bCs/>
          <w:color w:val="1B1B1B"/>
          <w:kern w:val="36"/>
          <w:sz w:val="33"/>
          <w:szCs w:val="33"/>
        </w:rPr>
        <w:t>M-NRP 8</w:t>
      </w:r>
      <w:r w:rsidRPr="00B472F9">
        <w:rPr>
          <w:rFonts w:ascii="Poppins" w:eastAsia="Times New Roman" w:hAnsi="Poppins" w:cs="Poppins"/>
          <w:b/>
          <w:bCs/>
          <w:color w:val="1B1B1B"/>
          <w:kern w:val="36"/>
          <w:sz w:val="33"/>
          <w:szCs w:val="33"/>
          <w:vertAlign w:val="superscript"/>
        </w:rPr>
        <w:t>TH</w:t>
      </w:r>
      <w:r>
        <w:rPr>
          <w:rFonts w:ascii="Poppins" w:eastAsia="Times New Roman" w:hAnsi="Poppins" w:cs="Poppins"/>
          <w:b/>
          <w:bCs/>
          <w:color w:val="1B1B1B"/>
          <w:kern w:val="36"/>
          <w:sz w:val="33"/>
          <w:szCs w:val="33"/>
        </w:rPr>
        <w:t xml:space="preserve"> EDITION</w:t>
      </w:r>
    </w:p>
    <w:p w14:paraId="3A0F4722" w14:textId="40053579" w:rsidR="00B472F9" w:rsidRPr="00B472F9" w:rsidRDefault="00B472F9" w:rsidP="00B472F9">
      <w:pPr>
        <w:shd w:val="clear" w:color="auto" w:fill="FFFFFF"/>
        <w:spacing w:after="600" w:line="240" w:lineRule="auto"/>
        <w:jc w:val="center"/>
        <w:outlineLvl w:val="0"/>
        <w:rPr>
          <w:rFonts w:ascii="Open Sans" w:eastAsia="Times New Roman" w:hAnsi="Open Sans" w:cs="Open Sans"/>
          <w:noProof/>
          <w:color w:val="000000"/>
          <w:sz w:val="24"/>
          <w:szCs w:val="24"/>
        </w:rPr>
      </w:pPr>
      <w:r w:rsidRPr="00B472F9">
        <w:rPr>
          <w:rFonts w:ascii="Open Sans" w:eastAsia="Times New Roman" w:hAnsi="Open Sans" w:cs="Open Sans"/>
          <w:b/>
          <w:bCs/>
          <w:noProof/>
          <w:color w:val="000000"/>
          <w:sz w:val="24"/>
          <w:szCs w:val="24"/>
        </w:rPr>
        <w:t>​</w:t>
      </w:r>
      <w:r w:rsidRPr="00B472F9">
        <w:rPr>
          <w:rFonts w:ascii="Open Sans" w:eastAsia="Times New Roman" w:hAnsi="Open Sans" w:cs="Open Sans"/>
          <w:noProof/>
          <w:color w:val="000000"/>
          <w:sz w:val="24"/>
          <w:szCs w:val="24"/>
        </w:rPr>
        <w:t>The Neonatal Resuscitation Program® (NRP®) course conveys an evidence-based approach to care of the newborn at birth and facilitates effective team-based care for healthcare professionals who care for newborns at the time of delivery.</w:t>
      </w:r>
      <w:r w:rsidRPr="00B472F9">
        <w:rPr>
          <w:rFonts w:ascii="Open Sans" w:eastAsia="Times New Roman" w:hAnsi="Open Sans" w:cs="Open Sans"/>
          <w:noProof/>
          <w:color w:val="000000"/>
          <w:sz w:val="24"/>
          <w:szCs w:val="24"/>
        </w:rPr>
        <w:br/>
        <w:t>​</w:t>
      </w:r>
    </w:p>
    <w:p w14:paraId="7728A3DD" w14:textId="77777777" w:rsidR="00B472F9" w:rsidRPr="00B472F9" w:rsidRDefault="00B472F9" w:rsidP="00B472F9">
      <w:pPr>
        <w:shd w:val="clear" w:color="auto" w:fill="FFFFFF"/>
        <w:spacing w:after="0" w:line="240" w:lineRule="auto"/>
        <w:jc w:val="center"/>
        <w:rPr>
          <w:rFonts w:ascii="Open Sans" w:eastAsia="Times New Roman" w:hAnsi="Open Sans" w:cs="Open Sans"/>
          <w:noProof/>
          <w:color w:val="000000"/>
          <w:sz w:val="24"/>
          <w:szCs w:val="24"/>
        </w:rPr>
      </w:pPr>
      <w:r w:rsidRPr="00B472F9">
        <w:rPr>
          <w:rFonts w:ascii="Open Sans" w:eastAsia="Times New Roman" w:hAnsi="Open Sans" w:cs="Open Sans"/>
          <w:noProof/>
          <w:color w:val="000000"/>
          <w:sz w:val="24"/>
          <w:szCs w:val="24"/>
        </w:rPr>
        <w:t>Specialty Life Support only teaches NRP Advanced Level.</w:t>
      </w:r>
      <w:r w:rsidRPr="00B472F9">
        <w:rPr>
          <w:rFonts w:ascii="Open Sans" w:eastAsia="Times New Roman" w:hAnsi="Open Sans" w:cs="Open Sans"/>
          <w:noProof/>
          <w:color w:val="000000"/>
          <w:sz w:val="24"/>
          <w:szCs w:val="24"/>
        </w:rPr>
        <w:br/>
        <w:t> </w:t>
      </w:r>
    </w:p>
    <w:p w14:paraId="6D233E2F" w14:textId="77777777" w:rsidR="00B472F9" w:rsidRPr="00B472F9" w:rsidRDefault="00B472F9" w:rsidP="00B472F9">
      <w:pPr>
        <w:shd w:val="clear" w:color="auto" w:fill="FFFFFF"/>
        <w:spacing w:after="0" w:line="240" w:lineRule="auto"/>
        <w:jc w:val="center"/>
        <w:rPr>
          <w:rFonts w:ascii="Open Sans" w:eastAsia="Times New Roman" w:hAnsi="Open Sans" w:cs="Open Sans"/>
          <w:noProof/>
          <w:color w:val="000000"/>
          <w:sz w:val="24"/>
          <w:szCs w:val="24"/>
        </w:rPr>
      </w:pPr>
      <w:r w:rsidRPr="00B472F9">
        <w:rPr>
          <w:rFonts w:ascii="Open Sans" w:eastAsia="Times New Roman" w:hAnsi="Open Sans" w:cs="Open Sans"/>
          <w:b/>
          <w:bCs/>
          <w:i/>
          <w:iCs/>
          <w:noProof/>
          <w:color w:val="000000"/>
          <w:sz w:val="24"/>
          <w:szCs w:val="24"/>
        </w:rPr>
        <w:t>From the AAP:</w:t>
      </w:r>
      <w:r w:rsidRPr="00B472F9">
        <w:rPr>
          <w:rFonts w:ascii="Open Sans" w:eastAsia="Times New Roman" w:hAnsi="Open Sans" w:cs="Open Sans"/>
          <w:noProof/>
          <w:color w:val="000000"/>
          <w:sz w:val="24"/>
          <w:szCs w:val="24"/>
        </w:rPr>
        <w:br/>
        <w:t> </w:t>
      </w:r>
    </w:p>
    <w:p w14:paraId="7C15764D" w14:textId="77777777" w:rsidR="00B472F9" w:rsidRPr="00B472F9" w:rsidRDefault="00B472F9" w:rsidP="00B472F9">
      <w:pPr>
        <w:shd w:val="clear" w:color="auto" w:fill="FFFFFF"/>
        <w:spacing w:after="0" w:line="240" w:lineRule="auto"/>
        <w:jc w:val="center"/>
        <w:rPr>
          <w:rFonts w:ascii="Open Sans" w:eastAsia="Times New Roman" w:hAnsi="Open Sans" w:cs="Open Sans"/>
          <w:noProof/>
          <w:color w:val="000000"/>
          <w:sz w:val="24"/>
          <w:szCs w:val="24"/>
        </w:rPr>
      </w:pPr>
      <w:r w:rsidRPr="00B472F9">
        <w:rPr>
          <w:rFonts w:ascii="Open Sans" w:eastAsia="Times New Roman" w:hAnsi="Open Sans" w:cs="Open Sans"/>
          <w:noProof/>
          <w:color w:val="000000"/>
          <w:sz w:val="24"/>
          <w:szCs w:val="24"/>
        </w:rPr>
        <w:t>"NRP Advanced is appropriate for those who attend births and are responsible for anticipated resuscitation of the newborn with known risk factors and for those who participate in neonatal resuscitation beyond positive-pressure ventilation (PPV). </w:t>
      </w:r>
      <w:r w:rsidRPr="00B472F9">
        <w:rPr>
          <w:rFonts w:ascii="Open Sans" w:eastAsia="Times New Roman" w:hAnsi="Open Sans" w:cs="Open Sans"/>
          <w:b/>
          <w:bCs/>
          <w:noProof/>
          <w:color w:val="000000"/>
          <w:sz w:val="24"/>
          <w:szCs w:val="24"/>
        </w:rPr>
        <w:t>The NRP Advanced participant is responsible for the material in textbook Lessons 1 through 11.</w:t>
      </w:r>
      <w:r w:rsidRPr="00B472F9">
        <w:rPr>
          <w:rFonts w:ascii="Open Sans" w:eastAsia="Times New Roman" w:hAnsi="Open Sans" w:cs="Open Sans"/>
          <w:noProof/>
          <w:color w:val="000000"/>
          <w:sz w:val="24"/>
          <w:szCs w:val="24"/>
        </w:rPr>
        <w:t> They may study the supplemental lessons 12 through 14 but will not be tested on that material."</w:t>
      </w:r>
      <w:r w:rsidRPr="00B472F9">
        <w:rPr>
          <w:rFonts w:ascii="Open Sans" w:eastAsia="Times New Roman" w:hAnsi="Open Sans" w:cs="Open Sans"/>
          <w:noProof/>
          <w:color w:val="000000"/>
          <w:sz w:val="24"/>
          <w:szCs w:val="24"/>
        </w:rPr>
        <w:br/>
        <w:t> </w:t>
      </w:r>
    </w:p>
    <w:p w14:paraId="5E685118" w14:textId="77777777" w:rsidR="00B472F9" w:rsidRPr="00B472F9" w:rsidRDefault="00B472F9" w:rsidP="00B472F9">
      <w:pPr>
        <w:shd w:val="clear" w:color="auto" w:fill="FFFFFF"/>
        <w:spacing w:after="0" w:line="240" w:lineRule="auto"/>
        <w:rPr>
          <w:rFonts w:ascii="Open Sans" w:eastAsia="Times New Roman" w:hAnsi="Open Sans" w:cs="Open Sans"/>
          <w:noProof/>
          <w:color w:val="000000"/>
          <w:sz w:val="24"/>
          <w:szCs w:val="24"/>
        </w:rPr>
      </w:pPr>
      <w:r w:rsidRPr="00B472F9">
        <w:rPr>
          <w:rFonts w:ascii="Open Sans" w:eastAsia="Times New Roman" w:hAnsi="Open Sans" w:cs="Open Sans"/>
          <w:b/>
          <w:bCs/>
          <w:noProof/>
          <w:color w:val="000000"/>
          <w:sz w:val="24"/>
          <w:szCs w:val="24"/>
        </w:rPr>
        <w:t>Completing the 8th Edition Neonatal Resuscitation Program course involves several steps:</w:t>
      </w:r>
    </w:p>
    <w:p w14:paraId="62FBFFED" w14:textId="77777777" w:rsidR="00B472F9" w:rsidRPr="00B472F9" w:rsidRDefault="00B472F9" w:rsidP="00B472F9">
      <w:pPr>
        <w:numPr>
          <w:ilvl w:val="0"/>
          <w:numId w:val="2"/>
        </w:numPr>
        <w:shd w:val="clear" w:color="auto" w:fill="FFFFFF"/>
        <w:spacing w:after="0" w:line="240" w:lineRule="auto"/>
        <w:rPr>
          <w:rFonts w:ascii="Open Sans" w:eastAsia="Times New Roman" w:hAnsi="Open Sans" w:cs="Open Sans"/>
          <w:noProof/>
          <w:color w:val="000000"/>
          <w:sz w:val="24"/>
          <w:szCs w:val="24"/>
        </w:rPr>
      </w:pPr>
      <w:r w:rsidRPr="00B472F9">
        <w:rPr>
          <w:rFonts w:ascii="Open Sans" w:eastAsia="Times New Roman" w:hAnsi="Open Sans" w:cs="Open Sans"/>
          <w:noProof/>
          <w:color w:val="000000"/>
          <w:sz w:val="24"/>
          <w:szCs w:val="24"/>
        </w:rPr>
        <w:t>The learner studies the information contained in the 8th Edition textbook (pictured) in either print or e-book format. The book is available through the </w:t>
      </w:r>
      <w:hyperlink r:id="rId5" w:tgtFrame="_blank" w:history="1">
        <w:r w:rsidRPr="00B472F9">
          <w:rPr>
            <w:rStyle w:val="Hyperlink"/>
            <w:rFonts w:ascii="Open Sans" w:eastAsia="Times New Roman" w:hAnsi="Open Sans" w:cs="Open Sans"/>
            <w:b/>
            <w:bCs/>
            <w:noProof/>
            <w:sz w:val="24"/>
            <w:szCs w:val="24"/>
          </w:rPr>
          <w:t>AAP</w:t>
        </w:r>
      </w:hyperlink>
      <w:r w:rsidRPr="00B472F9">
        <w:rPr>
          <w:rFonts w:ascii="Open Sans" w:eastAsia="Times New Roman" w:hAnsi="Open Sans" w:cs="Open Sans"/>
          <w:noProof/>
          <w:color w:val="000000"/>
          <w:sz w:val="24"/>
          <w:szCs w:val="24"/>
        </w:rPr>
        <w:t> or another reseller (such as </w:t>
      </w:r>
      <w:hyperlink r:id="rId6" w:tgtFrame="_blank" w:history="1">
        <w:r w:rsidRPr="00B472F9">
          <w:rPr>
            <w:rStyle w:val="Hyperlink"/>
            <w:rFonts w:ascii="Open Sans" w:eastAsia="Times New Roman" w:hAnsi="Open Sans" w:cs="Open Sans"/>
            <w:b/>
            <w:bCs/>
            <w:noProof/>
            <w:sz w:val="24"/>
            <w:szCs w:val="24"/>
          </w:rPr>
          <w:t>Amazon</w:t>
        </w:r>
      </w:hyperlink>
      <w:r w:rsidRPr="00B472F9">
        <w:rPr>
          <w:rFonts w:ascii="Open Sans" w:eastAsia="Times New Roman" w:hAnsi="Open Sans" w:cs="Open Sans"/>
          <w:noProof/>
          <w:color w:val="000000"/>
          <w:sz w:val="24"/>
          <w:szCs w:val="24"/>
        </w:rPr>
        <w:t>). You will need this book as a reference for the online examination and in completing the simulation cases.</w:t>
      </w:r>
    </w:p>
    <w:p w14:paraId="78960AC0" w14:textId="04205D23" w:rsidR="00B472F9" w:rsidRPr="00B472F9" w:rsidRDefault="00B472F9" w:rsidP="00B472F9">
      <w:pPr>
        <w:numPr>
          <w:ilvl w:val="0"/>
          <w:numId w:val="2"/>
        </w:numPr>
        <w:shd w:val="clear" w:color="auto" w:fill="FFFFFF"/>
        <w:spacing w:after="0" w:line="240" w:lineRule="auto"/>
        <w:rPr>
          <w:rFonts w:ascii="Open Sans" w:eastAsia="Times New Roman" w:hAnsi="Open Sans" w:cs="Open Sans"/>
          <w:noProof/>
          <w:color w:val="000000"/>
          <w:sz w:val="24"/>
          <w:szCs w:val="24"/>
        </w:rPr>
      </w:pPr>
      <w:r w:rsidRPr="00B472F9">
        <w:rPr>
          <w:rFonts w:ascii="Open Sans" w:eastAsia="Times New Roman" w:hAnsi="Open Sans" w:cs="Open Sans"/>
          <w:noProof/>
          <w:color w:val="000000"/>
          <w:sz w:val="24"/>
          <w:szCs w:val="24"/>
        </w:rPr>
        <w:t>After carefully reading / reviewing the book, go to the </w:t>
      </w:r>
      <w:hyperlink r:id="rId7" w:history="1">
        <w:r w:rsidR="00132D41" w:rsidRPr="00B472F9">
          <w:rPr>
            <w:rStyle w:val="Hyperlink"/>
            <w:rFonts w:ascii="Open Sans" w:eastAsia="Times New Roman" w:hAnsi="Open Sans" w:cs="Open Sans"/>
            <w:b/>
            <w:bCs/>
            <w:noProof/>
            <w:sz w:val="24"/>
            <w:szCs w:val="24"/>
          </w:rPr>
          <w:t>NRP Learning</w:t>
        </w:r>
        <w:r w:rsidR="00132D41" w:rsidRPr="00091455">
          <w:rPr>
            <w:rStyle w:val="Hyperlink"/>
            <w:rFonts w:ascii="Open Sans" w:eastAsia="Times New Roman" w:hAnsi="Open Sans" w:cs="Open Sans"/>
            <w:b/>
            <w:bCs/>
            <w:noProof/>
            <w:sz w:val="24"/>
            <w:szCs w:val="24"/>
          </w:rPr>
          <w:t xml:space="preserve"> Platform</w:t>
        </w:r>
        <w:r w:rsidR="00132D41" w:rsidRPr="00B472F9">
          <w:rPr>
            <w:rStyle w:val="Hyperlink"/>
            <w:rFonts w:ascii="Open Sans" w:eastAsia="Times New Roman" w:hAnsi="Open Sans" w:cs="Open Sans"/>
            <w:noProof/>
            <w:sz w:val="24"/>
            <w:szCs w:val="24"/>
          </w:rPr>
          <w:t> </w:t>
        </w:r>
      </w:hyperlink>
      <w:r w:rsidR="0047669E">
        <w:rPr>
          <w:rFonts w:ascii="Roboto" w:hAnsi="Roboto"/>
          <w:color w:val="006621"/>
          <w:shd w:val="clear" w:color="auto" w:fill="FFFFFF"/>
        </w:rPr>
        <w:t>https://nrplearningplatform.com</w:t>
      </w:r>
      <w:r w:rsidR="0047669E">
        <w:rPr>
          <w:rFonts w:ascii="Open Sans" w:eastAsia="Times New Roman" w:hAnsi="Open Sans" w:cs="Open Sans"/>
          <w:noProof/>
          <w:color w:val="000000"/>
          <w:sz w:val="24"/>
          <w:szCs w:val="24"/>
        </w:rPr>
        <w:t xml:space="preserve"> </w:t>
      </w:r>
      <w:r w:rsidRPr="00B472F9">
        <w:rPr>
          <w:rFonts w:ascii="Open Sans" w:eastAsia="Times New Roman" w:hAnsi="Open Sans" w:cs="Open Sans"/>
          <w:noProof/>
          <w:color w:val="000000"/>
          <w:sz w:val="24"/>
          <w:szCs w:val="24"/>
        </w:rPr>
        <w:t>and select the course track you will complete. You will be prompted to create an account or to log into the system.  Regardless of provider level, each learner will complete the Online Learning Assessment (Adaptive eLearning - not a set number of questions or time to complete). Learners seeking NRP Advanced Provider status will also complete the Advanced examination consisting of 35 questions, covering all material found in sections 1-11 of the 8th Edition textbook.   </w:t>
      </w:r>
    </w:p>
    <w:p w14:paraId="2F2757EB" w14:textId="77777777" w:rsidR="00B472F9" w:rsidRPr="00B472F9" w:rsidRDefault="00B472F9" w:rsidP="00B472F9">
      <w:pPr>
        <w:numPr>
          <w:ilvl w:val="0"/>
          <w:numId w:val="2"/>
        </w:numPr>
        <w:shd w:val="clear" w:color="auto" w:fill="FFFFFF"/>
        <w:spacing w:after="0" w:line="240" w:lineRule="auto"/>
        <w:rPr>
          <w:rFonts w:ascii="Open Sans" w:eastAsia="Times New Roman" w:hAnsi="Open Sans" w:cs="Open Sans"/>
          <w:noProof/>
          <w:color w:val="000000"/>
          <w:sz w:val="24"/>
          <w:szCs w:val="24"/>
        </w:rPr>
      </w:pPr>
      <w:r w:rsidRPr="00B472F9">
        <w:rPr>
          <w:rFonts w:ascii="Open Sans" w:eastAsia="Times New Roman" w:hAnsi="Open Sans" w:cs="Open Sans"/>
          <w:noProof/>
          <w:color w:val="000000"/>
          <w:sz w:val="24"/>
          <w:szCs w:val="24"/>
        </w:rPr>
        <w:t>Within </w:t>
      </w:r>
      <w:r w:rsidRPr="00B472F9">
        <w:rPr>
          <w:rFonts w:ascii="Open Sans" w:eastAsia="Times New Roman" w:hAnsi="Open Sans" w:cs="Open Sans"/>
          <w:b/>
          <w:bCs/>
          <w:noProof/>
          <w:color w:val="000000"/>
          <w:sz w:val="24"/>
          <w:szCs w:val="24"/>
        </w:rPr>
        <w:t>90 days</w:t>
      </w:r>
      <w:r w:rsidRPr="00B472F9">
        <w:rPr>
          <w:rFonts w:ascii="Open Sans" w:eastAsia="Times New Roman" w:hAnsi="Open Sans" w:cs="Open Sans"/>
          <w:noProof/>
          <w:color w:val="000000"/>
          <w:sz w:val="24"/>
          <w:szCs w:val="24"/>
        </w:rPr>
        <w:t> of completing the online module, attend the in-person NRP class at one of our training centers. </w:t>
      </w:r>
      <w:r w:rsidRPr="00B472F9">
        <w:rPr>
          <w:rFonts w:ascii="Open Sans" w:eastAsia="Times New Roman" w:hAnsi="Open Sans" w:cs="Open Sans"/>
          <w:b/>
          <w:bCs/>
          <w:noProof/>
          <w:color w:val="000000"/>
          <w:sz w:val="24"/>
          <w:szCs w:val="24"/>
        </w:rPr>
        <w:t>You need not register for the in-person session on the NRP Learning Platform in Part 2 </w:t>
      </w:r>
      <w:hyperlink r:id="rId8" w:tgtFrame="_blank" w:history="1">
        <w:r w:rsidRPr="00B472F9">
          <w:rPr>
            <w:rStyle w:val="Hyperlink"/>
            <w:rFonts w:ascii="Open Sans" w:eastAsia="Times New Roman" w:hAnsi="Open Sans" w:cs="Open Sans"/>
            <w:b/>
            <w:bCs/>
            <w:noProof/>
            <w:sz w:val="24"/>
            <w:szCs w:val="24"/>
          </w:rPr>
          <w:t>www.specialtylifesupport.com</w:t>
        </w:r>
      </w:hyperlink>
      <w:r w:rsidRPr="00B472F9">
        <w:rPr>
          <w:rFonts w:ascii="Open Sans" w:eastAsia="Times New Roman" w:hAnsi="Open Sans" w:cs="Open Sans"/>
          <w:b/>
          <w:bCs/>
          <w:noProof/>
          <w:color w:val="000000"/>
          <w:sz w:val="24"/>
          <w:szCs w:val="24"/>
        </w:rPr>
        <w:t> website.</w:t>
      </w:r>
    </w:p>
    <w:p w14:paraId="1364A911" w14:textId="77777777" w:rsidR="00B472F9" w:rsidRPr="00B472F9" w:rsidRDefault="00B472F9" w:rsidP="00B472F9">
      <w:pPr>
        <w:numPr>
          <w:ilvl w:val="0"/>
          <w:numId w:val="2"/>
        </w:numPr>
        <w:shd w:val="clear" w:color="auto" w:fill="FFFFFF"/>
        <w:spacing w:after="0" w:line="240" w:lineRule="auto"/>
        <w:rPr>
          <w:rFonts w:ascii="Open Sans" w:eastAsia="Times New Roman" w:hAnsi="Open Sans" w:cs="Open Sans"/>
          <w:noProof/>
          <w:color w:val="000000"/>
          <w:sz w:val="24"/>
          <w:szCs w:val="24"/>
        </w:rPr>
      </w:pPr>
      <w:r w:rsidRPr="00B472F9">
        <w:rPr>
          <w:rFonts w:ascii="Open Sans" w:eastAsia="Times New Roman" w:hAnsi="Open Sans" w:cs="Open Sans"/>
          <w:noProof/>
          <w:color w:val="000000"/>
          <w:sz w:val="24"/>
          <w:szCs w:val="24"/>
        </w:rPr>
        <w:t>You will receive your digital course completion card after completing the in-person class.</w:t>
      </w:r>
    </w:p>
    <w:sectPr w:rsidR="00B472F9" w:rsidRPr="00B472F9" w:rsidSect="00B472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Open Sans">
    <w:charset w:val="00"/>
    <w:family w:val="swiss"/>
    <w:pitch w:val="variable"/>
    <w:sig w:usb0="E00002EF" w:usb1="4000205B" w:usb2="00000028" w:usb3="00000000" w:csb0="000001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20964"/>
    <w:multiLevelType w:val="multilevel"/>
    <w:tmpl w:val="C2E2D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9D1BBD"/>
    <w:multiLevelType w:val="multilevel"/>
    <w:tmpl w:val="906C0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2F9"/>
    <w:rsid w:val="00132D41"/>
    <w:rsid w:val="0047669E"/>
    <w:rsid w:val="00B47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3DC2"/>
  <w15:chartTrackingRefBased/>
  <w15:docId w15:val="{6DFA3C8C-B7F3-4C42-A0B1-547706EDB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2F9"/>
    <w:rPr>
      <w:color w:val="0563C1" w:themeColor="hyperlink"/>
      <w:u w:val="single"/>
    </w:rPr>
  </w:style>
  <w:style w:type="character" w:styleId="UnresolvedMention">
    <w:name w:val="Unresolved Mention"/>
    <w:basedOn w:val="DefaultParagraphFont"/>
    <w:uiPriority w:val="99"/>
    <w:semiHidden/>
    <w:unhideWhenUsed/>
    <w:rsid w:val="00B47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928198">
      <w:bodyDiv w:val="1"/>
      <w:marLeft w:val="0"/>
      <w:marRight w:val="0"/>
      <w:marTop w:val="0"/>
      <w:marBottom w:val="0"/>
      <w:divBdr>
        <w:top w:val="none" w:sz="0" w:space="0" w:color="auto"/>
        <w:left w:val="none" w:sz="0" w:space="0" w:color="auto"/>
        <w:bottom w:val="none" w:sz="0" w:space="0" w:color="auto"/>
        <w:right w:val="none" w:sz="0" w:space="0" w:color="auto"/>
      </w:divBdr>
      <w:divsChild>
        <w:div w:id="1089421617">
          <w:marLeft w:val="-360"/>
          <w:marRight w:val="-360"/>
          <w:marTop w:val="0"/>
          <w:marBottom w:val="0"/>
          <w:divBdr>
            <w:top w:val="none" w:sz="0" w:space="0" w:color="auto"/>
            <w:left w:val="none" w:sz="0" w:space="0" w:color="auto"/>
            <w:bottom w:val="none" w:sz="0" w:space="0" w:color="auto"/>
            <w:right w:val="none" w:sz="0" w:space="0" w:color="auto"/>
          </w:divBdr>
          <w:divsChild>
            <w:div w:id="1442723513">
              <w:marLeft w:val="0"/>
              <w:marRight w:val="0"/>
              <w:marTop w:val="0"/>
              <w:marBottom w:val="0"/>
              <w:divBdr>
                <w:top w:val="none" w:sz="0" w:space="0" w:color="auto"/>
                <w:left w:val="none" w:sz="0" w:space="0" w:color="auto"/>
                <w:bottom w:val="none" w:sz="0" w:space="0" w:color="auto"/>
                <w:right w:val="none" w:sz="0" w:space="0" w:color="auto"/>
              </w:divBdr>
            </w:div>
            <w:div w:id="818107640">
              <w:marLeft w:val="0"/>
              <w:marRight w:val="0"/>
              <w:marTop w:val="0"/>
              <w:marBottom w:val="0"/>
              <w:divBdr>
                <w:top w:val="none" w:sz="0" w:space="0" w:color="auto"/>
                <w:left w:val="none" w:sz="0" w:space="0" w:color="auto"/>
                <w:bottom w:val="none" w:sz="0" w:space="0" w:color="auto"/>
                <w:right w:val="none" w:sz="0" w:space="0" w:color="auto"/>
              </w:divBdr>
              <w:divsChild>
                <w:div w:id="1815369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754786082">
      <w:bodyDiv w:val="1"/>
      <w:marLeft w:val="0"/>
      <w:marRight w:val="0"/>
      <w:marTop w:val="0"/>
      <w:marBottom w:val="0"/>
      <w:divBdr>
        <w:top w:val="none" w:sz="0" w:space="0" w:color="auto"/>
        <w:left w:val="none" w:sz="0" w:space="0" w:color="auto"/>
        <w:bottom w:val="none" w:sz="0" w:space="0" w:color="auto"/>
        <w:right w:val="none" w:sz="0" w:space="0" w:color="auto"/>
      </w:divBdr>
      <w:divsChild>
        <w:div w:id="1424183666">
          <w:marLeft w:val="-360"/>
          <w:marRight w:val="-360"/>
          <w:marTop w:val="0"/>
          <w:marBottom w:val="0"/>
          <w:divBdr>
            <w:top w:val="none" w:sz="0" w:space="0" w:color="auto"/>
            <w:left w:val="none" w:sz="0" w:space="0" w:color="auto"/>
            <w:bottom w:val="none" w:sz="0" w:space="0" w:color="auto"/>
            <w:right w:val="none" w:sz="0" w:space="0" w:color="auto"/>
          </w:divBdr>
          <w:divsChild>
            <w:div w:id="1401559848">
              <w:marLeft w:val="0"/>
              <w:marRight w:val="0"/>
              <w:marTop w:val="0"/>
              <w:marBottom w:val="0"/>
              <w:divBdr>
                <w:top w:val="none" w:sz="0" w:space="0" w:color="auto"/>
                <w:left w:val="none" w:sz="0" w:space="0" w:color="auto"/>
                <w:bottom w:val="none" w:sz="0" w:space="0" w:color="auto"/>
                <w:right w:val="none" w:sz="0" w:space="0" w:color="auto"/>
              </w:divBdr>
            </w:div>
            <w:div w:id="773332099">
              <w:marLeft w:val="0"/>
              <w:marRight w:val="0"/>
              <w:marTop w:val="0"/>
              <w:marBottom w:val="0"/>
              <w:divBdr>
                <w:top w:val="none" w:sz="0" w:space="0" w:color="auto"/>
                <w:left w:val="none" w:sz="0" w:space="0" w:color="auto"/>
                <w:bottom w:val="none" w:sz="0" w:space="0" w:color="auto"/>
                <w:right w:val="none" w:sz="0" w:space="0" w:color="auto"/>
              </w:divBdr>
              <w:divsChild>
                <w:div w:id="135542404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cialtylifesupport.com/" TargetMode="External"/><Relationship Id="rId3" Type="http://schemas.openxmlformats.org/officeDocument/2006/relationships/settings" Target="settings.xml"/><Relationship Id="rId7" Type="http://schemas.openxmlformats.org/officeDocument/2006/relationships/hyperlink" Target="NRP%20Learning%20Platform&#1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Textbook-Neonatal-Resuscitation-American-Pediatrics-dp-1610025245/dp/1610025245/ref=dp_ob_title_bk" TargetMode="External"/><Relationship Id="rId5" Type="http://schemas.openxmlformats.org/officeDocument/2006/relationships/hyperlink" Target="https://shop.aap.org/textbook-of-neonatal-resuscitation-8th-edition-paperbac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Welch</dc:creator>
  <cp:keywords/>
  <dc:description/>
  <cp:lastModifiedBy>Maureen Welch</cp:lastModifiedBy>
  <cp:revision>2</cp:revision>
  <dcterms:created xsi:type="dcterms:W3CDTF">2021-12-30T19:33:00Z</dcterms:created>
  <dcterms:modified xsi:type="dcterms:W3CDTF">2021-12-30T19:42:00Z</dcterms:modified>
</cp:coreProperties>
</file>