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57F3" w14:textId="77777777" w:rsidR="00117A78" w:rsidRDefault="00117A78" w:rsidP="00BF1EB9">
      <w:pPr>
        <w:spacing w:after="0" w:line="240" w:lineRule="auto"/>
        <w:ind w:left="720" w:hanging="360"/>
      </w:pPr>
    </w:p>
    <w:p w14:paraId="64D9E8D6" w14:textId="77777777" w:rsidR="00117A78" w:rsidRDefault="00117A78" w:rsidP="00117A78">
      <w:pPr>
        <w:pStyle w:val="ListParagraph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</w:p>
    <w:p w14:paraId="79B51689" w14:textId="103BE557" w:rsidR="00BF1EB9" w:rsidRPr="00BF1EB9" w:rsidRDefault="00BF1EB9" w:rsidP="00BF1EB9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>GFCI protection is required for all branch circuits or the outlet supplying listed appliances rated 150V to ground and 60A or less?</w:t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  <w:t>Section 210.8(D)</w:t>
      </w:r>
    </w:p>
    <w:tbl>
      <w:tblPr>
        <w:tblW w:w="9000" w:type="dxa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442"/>
        <w:gridCol w:w="8261"/>
      </w:tblGrid>
      <w:tr w:rsidR="00BF1EB9" w:rsidRPr="00BF1EB9" w14:paraId="175E3B3E" w14:textId="77777777" w:rsidTr="00BF1EB9">
        <w:trPr>
          <w:gridAfter w:val="2"/>
          <w:wAfter w:w="9120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6ED2" w14:textId="77777777" w:rsidR="00BF1EB9" w:rsidRPr="00BF1EB9" w:rsidRDefault="00BF1EB9" w:rsidP="00BF1E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</w:rPr>
            </w:pPr>
          </w:p>
        </w:tc>
      </w:tr>
      <w:tr w:rsidR="00BF1EB9" w:rsidRPr="00BF1EB9" w14:paraId="5BE1C52C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51381E8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3606ED0B" wp14:editId="42C095D7">
                  <wp:extent cx="142875" cy="142875"/>
                  <wp:effectExtent l="0" t="0" r="9525" b="9525"/>
                  <wp:docPr id="1" name="Picture 1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86B6697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3B4B895F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True</w:t>
            </w:r>
          </w:p>
        </w:tc>
      </w:tr>
      <w:tr w:rsidR="00BF1EB9" w:rsidRPr="00BF1EB9" w14:paraId="614373D2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F5603A5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71412096" wp14:editId="6A8BFF45">
                  <wp:extent cx="142875" cy="142875"/>
                  <wp:effectExtent l="0" t="0" r="9525" b="9525"/>
                  <wp:docPr id="2" name="Picture 2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1D6C8E7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47E6186A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False</w:t>
            </w:r>
          </w:p>
        </w:tc>
      </w:tr>
    </w:tbl>
    <w:p w14:paraId="73BF2CE8" w14:textId="7C925E53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BF1EB9">
        <w:rPr>
          <w:rFonts w:ascii="Helvetica" w:eastAsia="Times New Roman" w:hAnsi="Helvetica" w:cs="Helvetica"/>
          <w:color w:val="444444"/>
          <w:sz w:val="20"/>
          <w:szCs w:val="20"/>
        </w:rPr>
        <w:t> </w:t>
      </w:r>
    </w:p>
    <w:p w14:paraId="16397FBB" w14:textId="77777777" w:rsidR="00BF1EB9" w:rsidRP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017F06D7" w14:textId="77777777" w:rsidR="00BF1EB9" w:rsidRPr="00BF1EB9" w:rsidRDefault="00BF1EB9" w:rsidP="00BF1EB9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>Outside emergency disconnects for feeders supplied to one-and two-family dwelling units are required to be installed?</w:t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  <w:t>Section 225.41</w:t>
      </w:r>
    </w:p>
    <w:tbl>
      <w:tblPr>
        <w:tblW w:w="9000" w:type="dxa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442"/>
        <w:gridCol w:w="8261"/>
      </w:tblGrid>
      <w:tr w:rsidR="00BF1EB9" w:rsidRPr="00BF1EB9" w14:paraId="12B423FD" w14:textId="77777777" w:rsidTr="00BF1EB9">
        <w:trPr>
          <w:gridAfter w:val="2"/>
          <w:wAfter w:w="9120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61444" w14:textId="77777777" w:rsidR="00BF1EB9" w:rsidRPr="00BF1EB9" w:rsidRDefault="00BF1EB9" w:rsidP="00BF1E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</w:rPr>
            </w:pPr>
          </w:p>
        </w:tc>
      </w:tr>
      <w:tr w:rsidR="00BF1EB9" w:rsidRPr="00BF1EB9" w14:paraId="56F59C51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3D55120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17CCDFBF" wp14:editId="29B06885">
                  <wp:extent cx="142875" cy="142875"/>
                  <wp:effectExtent l="0" t="0" r="9525" b="9525"/>
                  <wp:docPr id="3" name="Picture 3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49960A42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1C146F11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True</w:t>
            </w:r>
          </w:p>
        </w:tc>
      </w:tr>
      <w:tr w:rsidR="00BF1EB9" w:rsidRPr="00BF1EB9" w14:paraId="143EC0A4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77AB1A9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6FA690C1" wp14:editId="640C1F2B">
                  <wp:extent cx="142875" cy="142875"/>
                  <wp:effectExtent l="0" t="0" r="9525" b="9525"/>
                  <wp:docPr id="4" name="Picture 4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8FE58E4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40A4FB05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False</w:t>
            </w:r>
          </w:p>
        </w:tc>
      </w:tr>
    </w:tbl>
    <w:p w14:paraId="2344EAC2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58D4FB22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7E4C016A" w14:textId="25EEE507" w:rsidR="00BF1EB9" w:rsidRPr="00BF1EB9" w:rsidRDefault="00BF1EB9" w:rsidP="00BF1EB9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>What is the distance from the pool wall that requires all receptacles to be GFCI protected?  </w:t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  <w:t>Section 680.22 </w:t>
      </w:r>
    </w:p>
    <w:tbl>
      <w:tblPr>
        <w:tblW w:w="9000" w:type="dxa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442"/>
        <w:gridCol w:w="8261"/>
      </w:tblGrid>
      <w:tr w:rsidR="00BF1EB9" w:rsidRPr="00BF1EB9" w14:paraId="42C184B1" w14:textId="77777777" w:rsidTr="00BF1EB9">
        <w:trPr>
          <w:gridAfter w:val="2"/>
          <w:wAfter w:w="9120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F3A04" w14:textId="77777777" w:rsidR="00BF1EB9" w:rsidRPr="00BF1EB9" w:rsidRDefault="00BF1EB9" w:rsidP="00BF1E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</w:rPr>
            </w:pPr>
          </w:p>
        </w:tc>
      </w:tr>
      <w:tr w:rsidR="00BF1EB9" w:rsidRPr="00BF1EB9" w14:paraId="1ECC92FB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50C60F5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4014938E" wp14:editId="706D8DBE">
                  <wp:extent cx="142875" cy="142875"/>
                  <wp:effectExtent l="0" t="0" r="9525" b="9525"/>
                  <wp:docPr id="5" name="Picture 5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6F044A3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1A85EC72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20 Feet</w:t>
            </w:r>
          </w:p>
        </w:tc>
      </w:tr>
      <w:tr w:rsidR="00BF1EB9" w:rsidRPr="00BF1EB9" w14:paraId="5B62B235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92F5830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35E3A617" wp14:editId="796781C4">
                  <wp:extent cx="142875" cy="142875"/>
                  <wp:effectExtent l="0" t="0" r="9525" b="9525"/>
                  <wp:docPr id="6" name="Picture 6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856FB56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5BF4DA2C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15 Feet</w:t>
            </w:r>
          </w:p>
        </w:tc>
      </w:tr>
      <w:tr w:rsidR="00BF1EB9" w:rsidRPr="00BF1EB9" w14:paraId="104A59C1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45B8E7E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12EA2C00" wp14:editId="3CA6AFC7">
                  <wp:extent cx="142875" cy="142875"/>
                  <wp:effectExtent l="0" t="0" r="9525" b="9525"/>
                  <wp:docPr id="7" name="Picture 7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7765F8C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133C6DBB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10 Feet</w:t>
            </w:r>
          </w:p>
        </w:tc>
      </w:tr>
      <w:tr w:rsidR="00BF1EB9" w:rsidRPr="00BF1EB9" w14:paraId="375C4795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F620B25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61B22C79" wp14:editId="0B610D3B">
                  <wp:extent cx="142875" cy="142875"/>
                  <wp:effectExtent l="0" t="0" r="9525" b="9525"/>
                  <wp:docPr id="8" name="Picture 8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3F524F9A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53C49385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5 Feet</w:t>
            </w:r>
          </w:p>
        </w:tc>
      </w:tr>
    </w:tbl>
    <w:p w14:paraId="5DD3520A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6D17A998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37BE3089" w14:textId="0EFF2413" w:rsidR="00BF1EB9" w:rsidRPr="00BF1EB9" w:rsidRDefault="00BF1EB9" w:rsidP="00BF1EB9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>The 2023 NEC code requires that upon installation of new electrical equipment "Commissioning" be performed before it is put into service. </w:t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  <w:t>Section 700.3(A)</w:t>
      </w:r>
    </w:p>
    <w:tbl>
      <w:tblPr>
        <w:tblW w:w="9000" w:type="dxa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442"/>
        <w:gridCol w:w="8261"/>
      </w:tblGrid>
      <w:tr w:rsidR="00BF1EB9" w:rsidRPr="00BF1EB9" w14:paraId="6903989E" w14:textId="77777777" w:rsidTr="00BF1EB9">
        <w:trPr>
          <w:gridAfter w:val="2"/>
          <w:wAfter w:w="9120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8D582" w14:textId="77777777" w:rsidR="00BF1EB9" w:rsidRPr="00BF1EB9" w:rsidRDefault="00BF1EB9" w:rsidP="00BF1E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</w:rPr>
            </w:pPr>
          </w:p>
        </w:tc>
      </w:tr>
      <w:tr w:rsidR="00BF1EB9" w:rsidRPr="00BF1EB9" w14:paraId="10522991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4A02CEAC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254539CC" wp14:editId="6BC704C6">
                  <wp:extent cx="142875" cy="142875"/>
                  <wp:effectExtent l="0" t="0" r="9525" b="9525"/>
                  <wp:docPr id="9" name="Picture 9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8BF7E30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1558F23F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True</w:t>
            </w:r>
          </w:p>
        </w:tc>
      </w:tr>
      <w:tr w:rsidR="00BF1EB9" w:rsidRPr="00BF1EB9" w14:paraId="0F4AD693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3B114883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4D0F0C93" wp14:editId="55624BED">
                  <wp:extent cx="142875" cy="142875"/>
                  <wp:effectExtent l="0" t="0" r="9525" b="9525"/>
                  <wp:docPr id="10" name="Picture 10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117A335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22DCE506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False</w:t>
            </w:r>
          </w:p>
        </w:tc>
      </w:tr>
    </w:tbl>
    <w:p w14:paraId="77FCF6A8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2453292B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502080A9" w14:textId="3E8F8E4E" w:rsidR="00BF1EB9" w:rsidRPr="00BF1EB9" w:rsidRDefault="00BF1EB9" w:rsidP="00BF1EB9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>According to the 2023 NEC Article 90.2 (B) states that you must allow for future expansion when installing new electrical equipment.  </w:t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  <w:t>Section 90.2(B)</w:t>
      </w:r>
    </w:p>
    <w:tbl>
      <w:tblPr>
        <w:tblW w:w="9000" w:type="dxa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442"/>
        <w:gridCol w:w="8261"/>
      </w:tblGrid>
      <w:tr w:rsidR="00BF1EB9" w:rsidRPr="00BF1EB9" w14:paraId="0A590BF7" w14:textId="77777777" w:rsidTr="00BF1EB9">
        <w:trPr>
          <w:gridAfter w:val="2"/>
          <w:wAfter w:w="9120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4AB37" w14:textId="77777777" w:rsidR="00BF1EB9" w:rsidRPr="00BF1EB9" w:rsidRDefault="00BF1EB9" w:rsidP="00BF1E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</w:rPr>
            </w:pPr>
          </w:p>
        </w:tc>
      </w:tr>
      <w:tr w:rsidR="00BF1EB9" w:rsidRPr="00BF1EB9" w14:paraId="1C175715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52CB1F0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3707ABD9" wp14:editId="3C587B20">
                  <wp:extent cx="142875" cy="142875"/>
                  <wp:effectExtent l="0" t="0" r="9525" b="9525"/>
                  <wp:docPr id="11" name="Picture 11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EB3084B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655229B8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True</w:t>
            </w:r>
          </w:p>
        </w:tc>
      </w:tr>
      <w:tr w:rsidR="00BF1EB9" w:rsidRPr="00BF1EB9" w14:paraId="43D7FA23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46746EEF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2978458E" wp14:editId="061124A4">
                  <wp:extent cx="142875" cy="142875"/>
                  <wp:effectExtent l="0" t="0" r="9525" b="9525"/>
                  <wp:docPr id="12" name="Picture 12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BD0AA67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0F261A9F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False</w:t>
            </w:r>
          </w:p>
        </w:tc>
      </w:tr>
    </w:tbl>
    <w:p w14:paraId="639473FE" w14:textId="5132B35C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2117B354" w14:textId="25476E5D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4061BF40" w14:textId="00F2CF73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7E0D100B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1097A15C" w14:textId="32E70415" w:rsidR="00BF1EB9" w:rsidRPr="00BF1EB9" w:rsidRDefault="00BF1EB9" w:rsidP="00BF1EB9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 xml:space="preserve">The width of the working space (must be kept clear) must be a minimum of 30" but in no case less than the </w:t>
      </w:r>
      <w:proofErr w:type="spellStart"/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>with</w:t>
      </w:r>
      <w:proofErr w:type="spellEnd"/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 xml:space="preserve"> of the equipment.</w:t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  <w:t>Section 110.26(A)</w:t>
      </w:r>
    </w:p>
    <w:tbl>
      <w:tblPr>
        <w:tblW w:w="9000" w:type="dxa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442"/>
        <w:gridCol w:w="8261"/>
      </w:tblGrid>
      <w:tr w:rsidR="00BF1EB9" w:rsidRPr="00BF1EB9" w14:paraId="78CD8D7C" w14:textId="77777777" w:rsidTr="00BF1EB9">
        <w:trPr>
          <w:gridAfter w:val="2"/>
          <w:wAfter w:w="9120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5F10F" w14:textId="77777777" w:rsidR="00BF1EB9" w:rsidRPr="00BF1EB9" w:rsidRDefault="00BF1EB9" w:rsidP="00BF1E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</w:rPr>
            </w:pPr>
          </w:p>
        </w:tc>
      </w:tr>
      <w:tr w:rsidR="00BF1EB9" w:rsidRPr="00BF1EB9" w14:paraId="38B0D568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0B9C15E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5AB76910" wp14:editId="49468193">
                  <wp:extent cx="142875" cy="142875"/>
                  <wp:effectExtent l="0" t="0" r="9525" b="9525"/>
                  <wp:docPr id="13" name="Picture 13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13BD53D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1F7077CE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True</w:t>
            </w:r>
          </w:p>
        </w:tc>
      </w:tr>
      <w:tr w:rsidR="00BF1EB9" w:rsidRPr="00BF1EB9" w14:paraId="2924D8BC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2F7B9C4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30E5BA6C" wp14:editId="782D88CA">
                  <wp:extent cx="142875" cy="142875"/>
                  <wp:effectExtent l="0" t="0" r="9525" b="9525"/>
                  <wp:docPr id="14" name="Picture 14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49E7CE1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6F299422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False</w:t>
            </w:r>
          </w:p>
        </w:tc>
      </w:tr>
    </w:tbl>
    <w:p w14:paraId="4D6EAC16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29A8A2B8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1099183E" w14:textId="29CC9CD0" w:rsidR="00BF1EB9" w:rsidRPr="00BF1EB9" w:rsidRDefault="00BF1EB9" w:rsidP="00BF1EB9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>You can have two different voltages share the same conduit? </w:t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  <w:t>Section 200.6(D)</w:t>
      </w:r>
    </w:p>
    <w:tbl>
      <w:tblPr>
        <w:tblW w:w="9000" w:type="dxa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442"/>
        <w:gridCol w:w="8261"/>
      </w:tblGrid>
      <w:tr w:rsidR="00BF1EB9" w:rsidRPr="00BF1EB9" w14:paraId="2AE6A3FA" w14:textId="77777777" w:rsidTr="00BF1EB9">
        <w:trPr>
          <w:gridAfter w:val="2"/>
          <w:wAfter w:w="9120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3AA3C" w14:textId="77777777" w:rsidR="00BF1EB9" w:rsidRPr="00BF1EB9" w:rsidRDefault="00BF1EB9" w:rsidP="00BF1E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</w:rPr>
            </w:pPr>
          </w:p>
        </w:tc>
      </w:tr>
      <w:tr w:rsidR="00BF1EB9" w:rsidRPr="00BF1EB9" w14:paraId="4EFF4A90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D2D820A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05E59922" wp14:editId="5430689E">
                  <wp:extent cx="142875" cy="142875"/>
                  <wp:effectExtent l="0" t="0" r="9525" b="9525"/>
                  <wp:docPr id="15" name="Picture 15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05E299C5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6131CFD7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True</w:t>
            </w:r>
          </w:p>
        </w:tc>
      </w:tr>
      <w:tr w:rsidR="00BF1EB9" w:rsidRPr="00BF1EB9" w14:paraId="0BD80EF2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32DC5FE3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602A693C" wp14:editId="56141BF4">
                  <wp:extent cx="142875" cy="142875"/>
                  <wp:effectExtent l="0" t="0" r="9525" b="9525"/>
                  <wp:docPr id="16" name="Picture 16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4B575EAE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71D82388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False</w:t>
            </w:r>
          </w:p>
        </w:tc>
      </w:tr>
    </w:tbl>
    <w:p w14:paraId="0730CF2E" w14:textId="77777777" w:rsidR="00BF1EB9" w:rsidRDefault="00BF1EB9" w:rsidP="00BF1EB9">
      <w:pPr>
        <w:spacing w:after="288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77A8B076" w14:textId="77777777" w:rsidR="00BF1EB9" w:rsidRDefault="00BF1EB9" w:rsidP="00BF1EB9">
      <w:pPr>
        <w:spacing w:after="288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4ACC1904" w14:textId="7688C2DE" w:rsidR="00BF1EB9" w:rsidRPr="00BF1EB9" w:rsidRDefault="00BF1EB9" w:rsidP="00BF1EB9">
      <w:pPr>
        <w:pStyle w:val="ListParagraph"/>
        <w:numPr>
          <w:ilvl w:val="0"/>
          <w:numId w:val="1"/>
        </w:numPr>
        <w:spacing w:after="288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 xml:space="preserve">Ground-Fault Circuit Interrupter (GFCI) opens the circuit when the ground-fault current is 6 mA </w:t>
      </w:r>
      <w:proofErr w:type="gramStart"/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>and</w:t>
      </w:r>
      <w:proofErr w:type="gramEnd"/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 xml:space="preserve"> greater.</w:t>
      </w:r>
    </w:p>
    <w:tbl>
      <w:tblPr>
        <w:tblW w:w="9000" w:type="dxa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442"/>
        <w:gridCol w:w="8261"/>
      </w:tblGrid>
      <w:tr w:rsidR="00BF1EB9" w:rsidRPr="00BF1EB9" w14:paraId="7CCA4209" w14:textId="77777777" w:rsidTr="00BF1EB9">
        <w:trPr>
          <w:gridAfter w:val="2"/>
          <w:wAfter w:w="9120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881DA" w14:textId="77777777" w:rsidR="00BF1EB9" w:rsidRPr="00BF1EB9" w:rsidRDefault="00BF1EB9" w:rsidP="00BF1EB9">
            <w:pPr>
              <w:spacing w:after="288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</w:rPr>
            </w:pPr>
          </w:p>
        </w:tc>
      </w:tr>
      <w:tr w:rsidR="00BF1EB9" w:rsidRPr="00BF1EB9" w14:paraId="6CA2063E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6545C29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5C8154D4" wp14:editId="68A02626">
                  <wp:extent cx="142875" cy="142875"/>
                  <wp:effectExtent l="0" t="0" r="9525" b="9525"/>
                  <wp:docPr id="17" name="Picture 17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D608BB4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1BDC4725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True</w:t>
            </w:r>
          </w:p>
        </w:tc>
      </w:tr>
      <w:tr w:rsidR="00BF1EB9" w:rsidRPr="00BF1EB9" w14:paraId="66F9255C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1ED67462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62E4778A" wp14:editId="71CACD02">
                  <wp:extent cx="142875" cy="142875"/>
                  <wp:effectExtent l="0" t="0" r="9525" b="9525"/>
                  <wp:docPr id="18" name="Picture 18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43B90D2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1C2F8B21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False</w:t>
            </w:r>
          </w:p>
        </w:tc>
      </w:tr>
    </w:tbl>
    <w:p w14:paraId="5012CCFA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671307EB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7BBDA7F0" w14:textId="7C4E68AF" w:rsidR="00BF1EB9" w:rsidRPr="00BF1EB9" w:rsidRDefault="00BF1EB9" w:rsidP="00BF1EB9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>Any cord-and-plug-connected appliances in the kitchen such as the range receptacle, refrigerator receptacle, disposal receptacle, and microwave receptacles require to be GFCI protected?</w:t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  <w:t>Section 210.8(A)(6)</w:t>
      </w:r>
    </w:p>
    <w:tbl>
      <w:tblPr>
        <w:tblW w:w="9000" w:type="dxa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442"/>
        <w:gridCol w:w="8261"/>
      </w:tblGrid>
      <w:tr w:rsidR="00BF1EB9" w:rsidRPr="00BF1EB9" w14:paraId="047DD6C5" w14:textId="77777777" w:rsidTr="00BF1EB9">
        <w:trPr>
          <w:gridAfter w:val="2"/>
          <w:wAfter w:w="9120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099ED" w14:textId="77777777" w:rsidR="00BF1EB9" w:rsidRPr="00BF1EB9" w:rsidRDefault="00BF1EB9" w:rsidP="00BF1E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</w:rPr>
            </w:pPr>
          </w:p>
        </w:tc>
      </w:tr>
      <w:tr w:rsidR="00BF1EB9" w:rsidRPr="00BF1EB9" w14:paraId="11A9E1E5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6AA4E37C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0C27CACD" wp14:editId="6D9BE4B9">
                  <wp:extent cx="142875" cy="142875"/>
                  <wp:effectExtent l="0" t="0" r="9525" b="9525"/>
                  <wp:docPr id="19" name="Picture 19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2B7F46C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7628AE0B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True</w:t>
            </w:r>
          </w:p>
        </w:tc>
      </w:tr>
      <w:tr w:rsidR="00BF1EB9" w:rsidRPr="00BF1EB9" w14:paraId="4685D995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3D4BD872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10A28DA3" wp14:editId="47206694">
                  <wp:extent cx="142875" cy="142875"/>
                  <wp:effectExtent l="0" t="0" r="9525" b="9525"/>
                  <wp:docPr id="20" name="Picture 20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21BB677B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2D7D99E6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False</w:t>
            </w:r>
          </w:p>
        </w:tc>
      </w:tr>
    </w:tbl>
    <w:p w14:paraId="551AA806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53C11F9F" w14:textId="77777777" w:rsid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5DDBBB81" w14:textId="7AACD700" w:rsidR="00BF1EB9" w:rsidRPr="00BF1EB9" w:rsidRDefault="00BF1EB9" w:rsidP="00BF1EB9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t>GFCI protection is required for all receptacles in a dwelling unit boathouse.</w:t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</w:r>
      <w:r w:rsidRPr="00BF1EB9">
        <w:rPr>
          <w:rFonts w:ascii="Helvetica" w:eastAsia="Times New Roman" w:hAnsi="Helvetica" w:cs="Helvetica"/>
          <w:color w:val="444444"/>
          <w:sz w:val="23"/>
          <w:szCs w:val="23"/>
        </w:rPr>
        <w:br/>
        <w:t>Section 210.8(A)(9)</w:t>
      </w:r>
    </w:p>
    <w:tbl>
      <w:tblPr>
        <w:tblW w:w="9000" w:type="dxa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442"/>
        <w:gridCol w:w="8261"/>
      </w:tblGrid>
      <w:tr w:rsidR="00BF1EB9" w:rsidRPr="00BF1EB9" w14:paraId="310CBCD7" w14:textId="77777777" w:rsidTr="00BF1EB9">
        <w:trPr>
          <w:gridAfter w:val="2"/>
          <w:wAfter w:w="9120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53DB2" w14:textId="77777777" w:rsidR="00BF1EB9" w:rsidRPr="00BF1EB9" w:rsidRDefault="00BF1EB9" w:rsidP="00BF1E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</w:rPr>
            </w:pPr>
          </w:p>
        </w:tc>
      </w:tr>
      <w:tr w:rsidR="00BF1EB9" w:rsidRPr="00BF1EB9" w14:paraId="2AC23DB2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0B56284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410C16BB" wp14:editId="07D0CB0B">
                  <wp:extent cx="142875" cy="142875"/>
                  <wp:effectExtent l="0" t="0" r="9525" b="9525"/>
                  <wp:docPr id="21" name="Picture 21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99136B2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32EC3537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True</w:t>
            </w:r>
          </w:p>
        </w:tc>
      </w:tr>
      <w:tr w:rsidR="00BF1EB9" w:rsidRPr="00BF1EB9" w14:paraId="0E8DA471" w14:textId="77777777" w:rsidTr="00BF1EB9">
        <w:trPr>
          <w:tblCellSpacing w:w="0" w:type="dxa"/>
        </w:trPr>
        <w:tc>
          <w:tcPr>
            <w:tcW w:w="30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78C5B0C6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700A26EE" wp14:editId="508472AB">
                  <wp:extent cx="142875" cy="142875"/>
                  <wp:effectExtent l="0" t="0" r="9525" b="9525"/>
                  <wp:docPr id="22" name="Picture 22" descr="Only select o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nly select one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Mar>
              <w:top w:w="0" w:type="dxa"/>
              <w:left w:w="0" w:type="dxa"/>
              <w:bottom w:w="105" w:type="dxa"/>
              <w:right w:w="0" w:type="dxa"/>
            </w:tcMar>
            <w:hideMark/>
          </w:tcPr>
          <w:p w14:paraId="531B9756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B)</w:t>
            </w:r>
          </w:p>
        </w:tc>
        <w:tc>
          <w:tcPr>
            <w:tcW w:w="8670" w:type="dxa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64899E60" w14:textId="77777777" w:rsidR="00BF1EB9" w:rsidRPr="00BF1EB9" w:rsidRDefault="00BF1EB9" w:rsidP="00B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F1EB9">
              <w:rPr>
                <w:rFonts w:ascii="Times New Roman" w:eastAsia="Times New Roman" w:hAnsi="Times New Roman" w:cs="Times New Roman"/>
                <w:sz w:val="27"/>
                <w:szCs w:val="27"/>
              </w:rPr>
              <w:t>False</w:t>
            </w:r>
          </w:p>
        </w:tc>
      </w:tr>
    </w:tbl>
    <w:p w14:paraId="6AEA352D" w14:textId="7146CE95" w:rsidR="00BF1EB9" w:rsidRPr="00BF1EB9" w:rsidRDefault="00BF1EB9" w:rsidP="00BF1EB9">
      <w:pPr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BF1EB9">
        <w:rPr>
          <w:rFonts w:ascii="Helvetica" w:eastAsia="Times New Roman" w:hAnsi="Helvetica" w:cs="Helvetica"/>
          <w:color w:val="444444"/>
          <w:sz w:val="20"/>
          <w:szCs w:val="20"/>
        </w:rPr>
        <w:t> </w:t>
      </w:r>
    </w:p>
    <w:p w14:paraId="3899526B" w14:textId="77777777" w:rsidR="00954D1C" w:rsidRDefault="00954D1C"/>
    <w:sectPr w:rsidR="00954D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A97F" w14:textId="77777777" w:rsidR="00117A78" w:rsidRDefault="00117A78" w:rsidP="00117A78">
      <w:pPr>
        <w:spacing w:after="0" w:line="240" w:lineRule="auto"/>
      </w:pPr>
      <w:r>
        <w:separator/>
      </w:r>
    </w:p>
  </w:endnote>
  <w:endnote w:type="continuationSeparator" w:id="0">
    <w:p w14:paraId="5A4201E0" w14:textId="77777777" w:rsidR="00117A78" w:rsidRDefault="00117A78" w:rsidP="0011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AED9" w14:textId="77777777" w:rsidR="00117A78" w:rsidRDefault="00117A78" w:rsidP="00117A78">
      <w:pPr>
        <w:spacing w:after="0" w:line="240" w:lineRule="auto"/>
      </w:pPr>
      <w:r>
        <w:separator/>
      </w:r>
    </w:p>
  </w:footnote>
  <w:footnote w:type="continuationSeparator" w:id="0">
    <w:p w14:paraId="5A7232FF" w14:textId="77777777" w:rsidR="00117A78" w:rsidRDefault="00117A78" w:rsidP="0011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9492" w14:textId="48A442EB" w:rsidR="00117A78" w:rsidRPr="00117A78" w:rsidRDefault="00117A78" w:rsidP="00117A78">
    <w:pPr>
      <w:pStyle w:val="Header"/>
      <w:jc w:val="center"/>
      <w:rPr>
        <w:b/>
        <w:bCs/>
        <w:sz w:val="36"/>
        <w:szCs w:val="36"/>
      </w:rPr>
    </w:pPr>
    <w:r w:rsidRPr="00117A78">
      <w:rPr>
        <w:b/>
        <w:bCs/>
        <w:sz w:val="36"/>
        <w:szCs w:val="36"/>
      </w:rPr>
      <w:t>2023 NEC CODE CHANGES TEST</w:t>
    </w:r>
  </w:p>
  <w:p w14:paraId="503B8AD5" w14:textId="77777777" w:rsidR="00117A78" w:rsidRDefault="00117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6D64"/>
    <w:multiLevelType w:val="hybridMultilevel"/>
    <w:tmpl w:val="DD20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88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B9"/>
    <w:rsid w:val="00117A78"/>
    <w:rsid w:val="00764D9D"/>
    <w:rsid w:val="00954D1C"/>
    <w:rsid w:val="00B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01B0"/>
  <w15:chartTrackingRefBased/>
  <w15:docId w15:val="{A4A9BE78-8FE4-4174-8578-06DCEDA4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78"/>
  </w:style>
  <w:style w:type="paragraph" w:styleId="Footer">
    <w:name w:val="footer"/>
    <w:basedOn w:val="Normal"/>
    <w:link w:val="FooterChar"/>
    <w:uiPriority w:val="99"/>
    <w:unhideWhenUsed/>
    <w:rsid w:val="0011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399">
              <w:marLeft w:val="-300"/>
              <w:marRight w:val="0"/>
              <w:marTop w:val="225"/>
              <w:marBottom w:val="180"/>
              <w:divBdr>
                <w:top w:val="single" w:sz="6" w:space="4" w:color="D0D2D2"/>
                <w:left w:val="single" w:sz="6" w:space="15" w:color="D0D2D2"/>
                <w:bottom w:val="single" w:sz="6" w:space="4" w:color="D0D2D2"/>
                <w:right w:val="single" w:sz="6" w:space="15" w:color="D0D2D2"/>
              </w:divBdr>
            </w:div>
            <w:div w:id="5700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110">
              <w:marLeft w:val="-300"/>
              <w:marRight w:val="0"/>
              <w:marTop w:val="225"/>
              <w:marBottom w:val="180"/>
              <w:divBdr>
                <w:top w:val="single" w:sz="6" w:space="4" w:color="D0D2D2"/>
                <w:left w:val="single" w:sz="6" w:space="15" w:color="D0D2D2"/>
                <w:bottom w:val="single" w:sz="6" w:space="4" w:color="D0D2D2"/>
                <w:right w:val="single" w:sz="6" w:space="15" w:color="D0D2D2"/>
              </w:divBdr>
            </w:div>
            <w:div w:id="12329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083">
              <w:marLeft w:val="-300"/>
              <w:marRight w:val="0"/>
              <w:marTop w:val="225"/>
              <w:marBottom w:val="180"/>
              <w:divBdr>
                <w:top w:val="single" w:sz="6" w:space="4" w:color="D0D2D2"/>
                <w:left w:val="single" w:sz="6" w:space="15" w:color="D0D2D2"/>
                <w:bottom w:val="single" w:sz="6" w:space="4" w:color="D0D2D2"/>
                <w:right w:val="single" w:sz="6" w:space="15" w:color="D0D2D2"/>
              </w:divBdr>
            </w:div>
            <w:div w:id="7992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511">
              <w:marLeft w:val="-300"/>
              <w:marRight w:val="0"/>
              <w:marTop w:val="225"/>
              <w:marBottom w:val="180"/>
              <w:divBdr>
                <w:top w:val="single" w:sz="6" w:space="4" w:color="D0D2D2"/>
                <w:left w:val="single" w:sz="6" w:space="15" w:color="D0D2D2"/>
                <w:bottom w:val="single" w:sz="6" w:space="4" w:color="D0D2D2"/>
                <w:right w:val="single" w:sz="6" w:space="15" w:color="D0D2D2"/>
              </w:divBdr>
            </w:div>
            <w:div w:id="15301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180">
              <w:marLeft w:val="-300"/>
              <w:marRight w:val="0"/>
              <w:marTop w:val="225"/>
              <w:marBottom w:val="180"/>
              <w:divBdr>
                <w:top w:val="single" w:sz="6" w:space="4" w:color="D0D2D2"/>
                <w:left w:val="single" w:sz="6" w:space="15" w:color="D0D2D2"/>
                <w:bottom w:val="single" w:sz="6" w:space="4" w:color="D0D2D2"/>
                <w:right w:val="single" w:sz="6" w:space="15" w:color="D0D2D2"/>
              </w:divBdr>
            </w:div>
            <w:div w:id="16682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1521">
              <w:marLeft w:val="-300"/>
              <w:marRight w:val="0"/>
              <w:marTop w:val="225"/>
              <w:marBottom w:val="180"/>
              <w:divBdr>
                <w:top w:val="single" w:sz="6" w:space="4" w:color="D0D2D2"/>
                <w:left w:val="single" w:sz="6" w:space="15" w:color="D0D2D2"/>
                <w:bottom w:val="single" w:sz="6" w:space="4" w:color="D0D2D2"/>
                <w:right w:val="single" w:sz="6" w:space="15" w:color="D0D2D2"/>
              </w:divBdr>
            </w:div>
            <w:div w:id="1750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998">
              <w:marLeft w:val="-300"/>
              <w:marRight w:val="0"/>
              <w:marTop w:val="225"/>
              <w:marBottom w:val="180"/>
              <w:divBdr>
                <w:top w:val="single" w:sz="6" w:space="4" w:color="D0D2D2"/>
                <w:left w:val="single" w:sz="6" w:space="15" w:color="D0D2D2"/>
                <w:bottom w:val="single" w:sz="6" w:space="4" w:color="D0D2D2"/>
                <w:right w:val="single" w:sz="6" w:space="15" w:color="D0D2D2"/>
              </w:divBdr>
            </w:div>
            <w:div w:id="4547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773">
              <w:marLeft w:val="-300"/>
              <w:marRight w:val="0"/>
              <w:marTop w:val="225"/>
              <w:marBottom w:val="180"/>
              <w:divBdr>
                <w:top w:val="single" w:sz="6" w:space="4" w:color="D0D2D2"/>
                <w:left w:val="single" w:sz="6" w:space="15" w:color="D0D2D2"/>
                <w:bottom w:val="single" w:sz="6" w:space="4" w:color="D0D2D2"/>
                <w:right w:val="single" w:sz="6" w:space="15" w:color="D0D2D2"/>
              </w:divBdr>
            </w:div>
            <w:div w:id="7709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819">
              <w:marLeft w:val="-300"/>
              <w:marRight w:val="0"/>
              <w:marTop w:val="225"/>
              <w:marBottom w:val="180"/>
              <w:divBdr>
                <w:top w:val="single" w:sz="6" w:space="4" w:color="D0D2D2"/>
                <w:left w:val="single" w:sz="6" w:space="15" w:color="D0D2D2"/>
                <w:bottom w:val="single" w:sz="6" w:space="4" w:color="D0D2D2"/>
                <w:right w:val="single" w:sz="6" w:space="15" w:color="D0D2D2"/>
              </w:divBdr>
            </w:div>
            <w:div w:id="5576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Hall</dc:creator>
  <cp:keywords/>
  <dc:description/>
  <cp:lastModifiedBy>Pete Hall</cp:lastModifiedBy>
  <cp:revision>2</cp:revision>
  <cp:lastPrinted>2023-02-01T16:23:00Z</cp:lastPrinted>
  <dcterms:created xsi:type="dcterms:W3CDTF">2023-02-01T16:23:00Z</dcterms:created>
  <dcterms:modified xsi:type="dcterms:W3CDTF">2023-02-01T16:23:00Z</dcterms:modified>
</cp:coreProperties>
</file>