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George Mason Debate Institute Tech Checklist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With online learning, students have new technological needs that would not be present with a brick and mortar institute. The following list shows the “must haves” and the “good to haves” of debating online.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Must Haves:</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Computer </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Camera (internal to the computer or external set-up)</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Microphone (internal to the computer or external set-up)</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Reliable internet</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Headphones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Optimal Haves: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Headset instead of Headphones (with audio tests, we have found that debaters who use headsets are MUCH easier to hear, and headsets mute external sounds). If you would like recommendations, please email us. Amazon has numerous quality budget headsets from anywhere between $19.99 and $35.99 that would work great.</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External monitor (allows you to have two screens during debates. This is especially helpful for more high-speed formats of debate like policy)</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Ethernet cord to plug into your home router for better connection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