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73" w:rsidRDefault="008B7173" w:rsidP="00614386">
      <w:pPr>
        <w:widowControl w:val="0"/>
        <w:tabs>
          <w:tab w:val="left" w:pos="10065"/>
        </w:tabs>
        <w:spacing w:after="0" w:line="240" w:lineRule="auto"/>
        <w:ind w:left="-1440" w:right="594" w:firstLine="1440"/>
        <w:rPr>
          <w:rFonts w:ascii="Calibri" w:hAnsi="Calibri" w:cs="Arial"/>
          <w:bCs/>
          <w:color w:val="767171" w:themeColor="background2" w:themeShade="80"/>
          <w:sz w:val="18"/>
          <w:szCs w:val="72"/>
          <w:lang w:val="es-AR"/>
          <w14:textOutline w14:w="9525" w14:cap="rnd" w14:cmpd="sng" w14:algn="ctr">
            <w14:noFill/>
            <w14:prstDash w14:val="solid"/>
            <w14:bevel/>
          </w14:textOutline>
        </w:rPr>
      </w:pPr>
      <w:r w:rsidRPr="00FC569D">
        <w:rPr>
          <w:b/>
          <w:bCs/>
          <w:noProof/>
          <w:lang w:val="es-AR" w:eastAsia="es-AR"/>
        </w:rPr>
        <w:drawing>
          <wp:inline distT="0" distB="0" distL="0" distR="0" wp14:anchorId="08F85CDB" wp14:editId="3B0EEA84">
            <wp:extent cx="1428750" cy="361950"/>
            <wp:effectExtent l="0" t="0" r="0" b="0"/>
            <wp:docPr id="2" name="Imagen 2" descr="http://elmerlab.com/wp-content/uploads/2017/09/Logo-Alta-sin-fondo-150x3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merlab.com/wp-content/uploads/2017/09/Logo-Alta-sin-fondo-150x3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AA" w:rsidRDefault="003526E8" w:rsidP="00614386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240" w:lineRule="auto"/>
        <w:ind w:left="-1418" w:firstLine="1418"/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>HECTOPAR BAÑO Y GARRAPATICIDA LIQUIDO</w:t>
      </w:r>
    </w:p>
    <w:p w:rsidR="00AC16FB" w:rsidRPr="007172AA" w:rsidRDefault="003526E8" w:rsidP="00614386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240" w:lineRule="auto"/>
        <w:ind w:left="-1418" w:firstLine="1418"/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>Antiparasitario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Externo</w:t>
      </w:r>
    </w:p>
    <w:p w:rsidR="007172AA" w:rsidRDefault="003526E8" w:rsidP="004E0C84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0" w:lineRule="atLeast"/>
        <w:ind w:left="-1418" w:firstLine="1418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>Contenido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Neto 70 </w:t>
      </w:r>
      <w:proofErr w:type="spellStart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>mL.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y 120 </w:t>
      </w:r>
      <w:proofErr w:type="spellStart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>mL</w:t>
      </w:r>
      <w:proofErr w:type="spellEnd"/>
    </w:p>
    <w:p w:rsidR="007172AA" w:rsidRPr="007172AA" w:rsidRDefault="00B23964" w:rsidP="004D07AF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0" w:lineRule="atLeast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573pt;height:2pt;mso-position-vertical:absolute" o:hralign="center" o:hrstd="t" o:hrnoshade="t" o:hr="t" fillcolor="#272727 [2749]" stroked="f"/>
        </w:pict>
      </w:r>
    </w:p>
    <w:p w:rsidR="00B23964" w:rsidRDefault="00B2396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VENTA CON RECETA VETERINARIA</w:t>
      </w:r>
    </w:p>
    <w:p w:rsidR="004E0C84" w:rsidRDefault="003526E8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USO VETERINARIO – Industria Argentina</w:t>
      </w:r>
    </w:p>
    <w:p w:rsidR="003526E8" w:rsidRDefault="003526E8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FORMULA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:</w:t>
      </w:r>
    </w:p>
    <w:p w:rsidR="007172AA" w:rsidRDefault="003526E8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Cada 10</w:t>
      </w:r>
      <w:r w:rsidR="009D019E">
        <w:rPr>
          <w:rFonts w:eastAsia="Times New Roman" w:cstheme="minorHAnsi"/>
          <w:color w:val="777777"/>
          <w:sz w:val="20"/>
          <w:szCs w:val="20"/>
          <w:lang w:val="es-AR" w:eastAsia="es-AR"/>
        </w:rPr>
        <w:t>0 ml contiene:</w:t>
      </w:r>
    </w:p>
    <w:p w:rsidR="00DD400E" w:rsidRDefault="003526E8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Cipermetrina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(2,2-dimetil-3</w:t>
      </w:r>
      <w:r w:rsidR="00F6038C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-(2-2 </w:t>
      </w:r>
      <w:proofErr w:type="spellStart"/>
      <w:r w:rsidR="00F6038C">
        <w:rPr>
          <w:rFonts w:eastAsia="Times New Roman" w:cstheme="minorHAnsi"/>
          <w:color w:val="777777"/>
          <w:sz w:val="20"/>
          <w:szCs w:val="20"/>
          <w:lang w:val="es-AR" w:eastAsia="es-AR"/>
        </w:rPr>
        <w:t>dicloro</w:t>
      </w:r>
      <w:proofErr w:type="spellEnd"/>
      <w:r w:rsidR="00F6038C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vinil)ciclo</w:t>
      </w:r>
    </w:p>
    <w:p w:rsidR="00F6038C" w:rsidRDefault="00F6038C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Propil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carboxilato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de alfa ciano-3-fenoxibencilo).....................</w:t>
      </w:r>
      <w:r w:rsidR="00AF2B2F">
        <w:rPr>
          <w:rFonts w:eastAsia="Times New Roman" w:cstheme="minorHAnsi"/>
          <w:color w:val="777777"/>
          <w:sz w:val="20"/>
          <w:szCs w:val="20"/>
          <w:lang w:val="es-AR" w:eastAsia="es-AR"/>
        </w:rPr>
        <w:t>.......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.0,5 g</w:t>
      </w:r>
    </w:p>
    <w:p w:rsidR="00F6038C" w:rsidRDefault="00F6038C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Clorpirifos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(0,0-dietil 0-3,5,6 tricloro-2-pindil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fosfo</w:t>
      </w:r>
      <w:r w:rsidR="00AF2B2F">
        <w:rPr>
          <w:rFonts w:eastAsia="Times New Roman" w:cstheme="minorHAnsi"/>
          <w:color w:val="777777"/>
          <w:sz w:val="20"/>
          <w:szCs w:val="20"/>
          <w:lang w:val="es-AR" w:eastAsia="es-AR"/>
        </w:rPr>
        <w:t>rotioato</w:t>
      </w:r>
      <w:proofErr w:type="spellEnd"/>
      <w:r w:rsidR="00AF2B2F">
        <w:rPr>
          <w:rFonts w:eastAsia="Times New Roman" w:cstheme="minorHAnsi"/>
          <w:color w:val="777777"/>
          <w:sz w:val="20"/>
          <w:szCs w:val="20"/>
          <w:lang w:val="es-AR" w:eastAsia="es-AR"/>
        </w:rPr>
        <w:t>)...........3,5 g</w:t>
      </w:r>
    </w:p>
    <w:p w:rsidR="00AF2B2F" w:rsidRDefault="00AF2B2F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Excipientes c.s.p.......................................................................100,00 Ml</w:t>
      </w:r>
    </w:p>
    <w:p w:rsidR="00AF2B2F" w:rsidRDefault="00AF2B2F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AF2B2F" w:rsidRDefault="00AF2B2F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Se trata de una asociación de dos drogas, un organofosforado y un piretroide, formuladas como líquido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emulsionable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destinada para el control de pulgas,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Ctenocephalides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canis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y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felis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y garrapatas,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Amblyomma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masculatum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y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Rhipicephalus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sanguineus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. Se recuerda que el remanente de la dilución, una vez tratados los animales, puede utilizarse para asperjar caniles, cuchas y elementos pertenecientes a los animales parasitados.</w:t>
      </w:r>
    </w:p>
    <w:p w:rsidR="00AF2B2F" w:rsidRDefault="00AF2B2F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AF2B2F" w:rsidRPr="00B07767" w:rsidRDefault="00AF2B2F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B07767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MODO DE USO Y DOSIFICACION:</w:t>
      </w:r>
    </w:p>
    <w:p w:rsidR="00AF2B2F" w:rsidRDefault="00AF2B2F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Hectopar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líquido puede utilizarse como baño, o simplemente humedecer bien el animal con una esponja embebida</w:t>
      </w:r>
      <w:r w:rsidR="004859DD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en el </w:t>
      </w:r>
      <w:proofErr w:type="spellStart"/>
      <w:r w:rsidR="004859DD">
        <w:rPr>
          <w:rFonts w:eastAsia="Times New Roman" w:cstheme="minorHAnsi"/>
          <w:color w:val="777777"/>
          <w:sz w:val="20"/>
          <w:szCs w:val="20"/>
          <w:lang w:val="es-AR" w:eastAsia="es-AR"/>
        </w:rPr>
        <w:t>liquido</w:t>
      </w:r>
      <w:proofErr w:type="spellEnd"/>
      <w:r w:rsidR="004859DD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diluido, dejando que seque naturalmente para que el producto desarrolle su acción residual. La dosificación aconsejada es la siguiente:</w:t>
      </w:r>
    </w:p>
    <w:p w:rsidR="004859DD" w:rsidRDefault="004859DD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 w:rsidRPr="00B07767">
        <w:rPr>
          <w:rFonts w:eastAsia="Times New Roman" w:cstheme="minorHAnsi"/>
          <w:i/>
          <w:color w:val="777777"/>
          <w:sz w:val="20"/>
          <w:szCs w:val="20"/>
          <w:lang w:val="es-AR" w:eastAsia="es-AR"/>
        </w:rPr>
        <w:t>Caninos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: diluir una medida 10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mL.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de </w:t>
      </w:r>
      <w:proofErr w:type="spellStart"/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Hectopar</w:t>
      </w:r>
      <w:proofErr w:type="spellEnd"/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 xml:space="preserve"> Líquido</w:t>
      </w:r>
      <w:r w:rsidR="00B07767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,</w:t>
      </w:r>
      <w:r w:rsidR="00B07767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en ½ litro de agua o sus equivalentes. Mojar a contrapelo. No secar con toalla, dejar que seque al aire. Repetir a los 14 días.</w:t>
      </w:r>
    </w:p>
    <w:p w:rsidR="00B07767" w:rsidRDefault="00B0776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 w:rsidRPr="00B07767">
        <w:rPr>
          <w:rFonts w:eastAsia="Times New Roman" w:cstheme="minorHAnsi"/>
          <w:i/>
          <w:color w:val="777777"/>
          <w:sz w:val="20"/>
          <w:szCs w:val="20"/>
          <w:lang w:val="es-AR" w:eastAsia="es-AR"/>
        </w:rPr>
        <w:t>En el ambiente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: Una medida, 10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mL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de </w:t>
      </w:r>
      <w:proofErr w:type="spellStart"/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Hectopar</w:t>
      </w:r>
      <w:proofErr w:type="spellEnd"/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 xml:space="preserve"> Líquido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, en 1 litro de agua. Aplicar a trapo o aspersión en los lugares frecuentados por los animales (caniles, cuchas y elementos pertenecientes a los animales parasitados).</w:t>
      </w:r>
    </w:p>
    <w:p w:rsidR="00B07767" w:rsidRDefault="00B0776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B07767" w:rsidRDefault="00B07767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B07767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RESTRICCIONES DE USO:</w:t>
      </w:r>
    </w:p>
    <w:p w:rsidR="00B07767" w:rsidRDefault="00FB3BED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No tratar perras preñadas ni en lactación ni crías meno</w:t>
      </w:r>
      <w:r w:rsidR="00755703">
        <w:rPr>
          <w:rFonts w:eastAsia="Times New Roman" w:cstheme="minorHAnsi"/>
          <w:color w:val="777777"/>
          <w:sz w:val="20"/>
          <w:szCs w:val="20"/>
          <w:lang w:val="es-AR" w:eastAsia="es-AR"/>
        </w:rPr>
        <w:t>res de tres meses de edad. No utilizar en felinos.</w:t>
      </w:r>
    </w:p>
    <w:p w:rsidR="00755703" w:rsidRDefault="00755703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755703" w:rsidRDefault="00755703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PRECAUCIONES:</w:t>
      </w:r>
    </w:p>
    <w:p w:rsidR="00755703" w:rsidRDefault="00755703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Como se trata de un producto moderadamente tóxico y, aunque su formulación no favorece la absorción percutánea, es prudente manejarse con cuidado, sobre todo referido a los niños. Por esa razón sugerimos el</w:t>
      </w:r>
      <w:r w:rsidR="00241327">
        <w:rPr>
          <w:rFonts w:eastAsia="Times New Roman" w:cstheme="minorHAnsi"/>
          <w:color w:val="777777"/>
          <w:sz w:val="20"/>
          <w:szCs w:val="20"/>
          <w:lang w:val="es-AR" w:eastAsia="es-AR"/>
        </w:rPr>
        <w:t>iminar cuanto antes las diluciones remanentes una vez finalizado el tratamiento de los animales y su ambiente. Utilizar guantes de material impermeable. Mantener el envase fuera del alcance de los niños, evitar su contacto con alimentos, bebidas, productos para la higiene y domésticos. Tras el contacto con los ojos, enjuagar con abundante agua y cuando se trata de la piel, lavar con agua y jabón. En caso de accidente, acudir al médico con el envase.</w:t>
      </w:r>
    </w:p>
    <w:p w:rsidR="00241327" w:rsidRDefault="0024132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241327" w:rsidRPr="00241327" w:rsidRDefault="00241327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241327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AVISO PARA EL MEDICO</w:t>
      </w:r>
    </w:p>
    <w:p w:rsidR="003526E8" w:rsidRDefault="0024132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No inducir el vómito, si lavaje de estómago mediante sonda gástrica. Como este producto inhibe la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colinesterasa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, utilizar como antídoto, sulfato de atropina al 1 por mil, por vía parenteral, cada dos horas hasta dilatación de la pupila. En casos graves, 2-4 mg por vía intravenosa cada 5-10 minutos hasta síntomas de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atropinización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. Mantener 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duarnte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24 – 48 horas.</w:t>
      </w:r>
    </w:p>
    <w:p w:rsidR="00241327" w:rsidRPr="007172AA" w:rsidRDefault="00241327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241327" w:rsidRDefault="00241327" w:rsidP="00241327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6D5F53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CENTRO NACIONAL DE INTOXICACIONES 0800-333-0160</w:t>
      </w:r>
    </w:p>
    <w:p w:rsidR="00241327" w:rsidRDefault="00241327" w:rsidP="00241327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 w:rsidRPr="00241327">
        <w:rPr>
          <w:rFonts w:eastAsia="Times New Roman" w:cstheme="minorHAnsi"/>
          <w:color w:val="777777"/>
          <w:sz w:val="20"/>
          <w:szCs w:val="20"/>
          <w:lang w:val="es-AR" w:eastAsia="es-AR"/>
        </w:rPr>
        <w:t>Mantener fuera del alcance de los niños y los animales domésticos</w:t>
      </w:r>
    </w:p>
    <w:p w:rsidR="00241327" w:rsidRDefault="00241327" w:rsidP="00241327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Una vez terminado el producto, eliminar los envases de acuerdo con la legislación vigente</w:t>
      </w:r>
      <w:r w:rsidR="00B23964">
        <w:rPr>
          <w:rFonts w:eastAsia="Times New Roman" w:cstheme="minorHAnsi"/>
          <w:color w:val="777777"/>
          <w:sz w:val="20"/>
          <w:szCs w:val="20"/>
          <w:lang w:val="es-AR" w:eastAsia="es-AR"/>
        </w:rPr>
        <w:t>.</w:t>
      </w:r>
    </w:p>
    <w:p w:rsidR="00B23964" w:rsidRPr="00B23964" w:rsidRDefault="00B23964" w:rsidP="00241327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</w:p>
    <w:p w:rsidR="00B23964" w:rsidRDefault="00B23964" w:rsidP="00241327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B23964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ADVERTENCIA</w:t>
      </w:r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:</w:t>
      </w:r>
    </w:p>
    <w:p w:rsidR="00B23964" w:rsidRPr="00B23964" w:rsidRDefault="00B23964" w:rsidP="00241327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lastRenderedPageBreak/>
        <w:t>Como este producto será utilizado fuera del control del elaborador, este no se responsabiliza por las consecuencias que surjan de su uso inadecuado.</w:t>
      </w:r>
    </w:p>
    <w:p w:rsidR="00241327" w:rsidRPr="006D5F53" w:rsidRDefault="00241327" w:rsidP="00241327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</w:p>
    <w:p w:rsidR="00A77285" w:rsidRP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</w:pP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CONSERVACION:</w:t>
      </w:r>
    </w:p>
    <w:p w:rsidR="007172AA" w:rsidRPr="007172AA" w:rsidRDefault="00B2396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Conservar entre</w:t>
      </w:r>
      <w:r w:rsidR="007172AA"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1</w:t>
      </w:r>
      <w:r w:rsidR="007172AA"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>5 y 25° C</w:t>
      </w:r>
    </w:p>
    <w:p w:rsidR="006D5F53" w:rsidRDefault="006D5F53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7172AA" w:rsidRPr="006D5F53" w:rsidRDefault="007172AA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pt-BR" w:eastAsia="es-AR"/>
        </w:rPr>
      </w:pPr>
      <w:r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>Producto inscripto en SENASA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Est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.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Elab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. Nº</w:t>
      </w:r>
      <w:r w:rsidR="00AC16FB">
        <w:rPr>
          <w:rFonts w:eastAsia="Times New Roman" w:cstheme="minorHAnsi"/>
          <w:color w:val="777777"/>
          <w:sz w:val="20"/>
          <w:szCs w:val="20"/>
          <w:lang w:val="es-AR" w:eastAsia="es-AR"/>
        </w:rPr>
        <w:t>8083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Agreed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Laboratorios S.A.</w:t>
      </w:r>
      <w:r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br/>
        <w:t xml:space="preserve">Certificado Nº </w:t>
      </w:r>
      <w:r w:rsidR="00B23964">
        <w:rPr>
          <w:rFonts w:eastAsia="Times New Roman" w:cstheme="minorHAnsi"/>
          <w:color w:val="777777"/>
          <w:sz w:val="20"/>
          <w:szCs w:val="20"/>
          <w:lang w:val="es-AR" w:eastAsia="es-AR"/>
        </w:rPr>
        <w:t>93.259</w:t>
      </w:r>
      <w:bookmarkStart w:id="0" w:name="_GoBack"/>
      <w:bookmarkEnd w:id="0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Dir.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Tec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. </w:t>
      </w:r>
      <w:r w:rsidR="006D5F53"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 xml:space="preserve">Dr. Jorge C. Arena – Mat. Prof. </w:t>
      </w:r>
      <w:r w:rsid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Nº5944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 xml:space="preserve">Coronel </w:t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Uzal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 xml:space="preserve"> 3376, </w:t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Olivos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, B1636DGF,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>Buenos Aires, Argentina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Tel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: +54 (011) 5430-5578 / +54 (011) 5431-5782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>INDUSTRIA ARGENTINA</w:t>
      </w:r>
    </w:p>
    <w:p w:rsidR="00614386" w:rsidRPr="006D5F53" w:rsidRDefault="00614386" w:rsidP="00033A9E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pt-BR" w:eastAsia="es-AR"/>
        </w:rPr>
      </w:pPr>
    </w:p>
    <w:sectPr w:rsidR="00614386" w:rsidRPr="006D5F53" w:rsidSect="00693CC5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D"/>
    <w:rsid w:val="00033A9E"/>
    <w:rsid w:val="000640AF"/>
    <w:rsid w:val="000E7DC7"/>
    <w:rsid w:val="000F314C"/>
    <w:rsid w:val="001F3300"/>
    <w:rsid w:val="00241327"/>
    <w:rsid w:val="0026268A"/>
    <w:rsid w:val="002A6147"/>
    <w:rsid w:val="00334F62"/>
    <w:rsid w:val="003526E8"/>
    <w:rsid w:val="003D45D6"/>
    <w:rsid w:val="003E13F9"/>
    <w:rsid w:val="003E72DD"/>
    <w:rsid w:val="003E73DD"/>
    <w:rsid w:val="004859DD"/>
    <w:rsid w:val="00494C9B"/>
    <w:rsid w:val="004D07AF"/>
    <w:rsid w:val="004E0C84"/>
    <w:rsid w:val="0051460D"/>
    <w:rsid w:val="00614386"/>
    <w:rsid w:val="00641359"/>
    <w:rsid w:val="00655B17"/>
    <w:rsid w:val="00693CC5"/>
    <w:rsid w:val="006D5F53"/>
    <w:rsid w:val="007172AA"/>
    <w:rsid w:val="00755703"/>
    <w:rsid w:val="00817D32"/>
    <w:rsid w:val="00822722"/>
    <w:rsid w:val="008B7173"/>
    <w:rsid w:val="009115C0"/>
    <w:rsid w:val="009D019E"/>
    <w:rsid w:val="009F0FEB"/>
    <w:rsid w:val="00A77285"/>
    <w:rsid w:val="00AC16FB"/>
    <w:rsid w:val="00AF2B2F"/>
    <w:rsid w:val="00B07767"/>
    <w:rsid w:val="00B23964"/>
    <w:rsid w:val="00B8741C"/>
    <w:rsid w:val="00C70705"/>
    <w:rsid w:val="00CD5C9B"/>
    <w:rsid w:val="00D031BC"/>
    <w:rsid w:val="00D377EA"/>
    <w:rsid w:val="00DB76DC"/>
    <w:rsid w:val="00DD400E"/>
    <w:rsid w:val="00E260BA"/>
    <w:rsid w:val="00E30125"/>
    <w:rsid w:val="00E678F3"/>
    <w:rsid w:val="00E95A76"/>
    <w:rsid w:val="00EB24D4"/>
    <w:rsid w:val="00F6038C"/>
    <w:rsid w:val="00FB3BED"/>
    <w:rsid w:val="00FC569D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FC89E"/>
  <w15:docId w15:val="{72AE7C72-472D-4544-A15B-BF8B086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elmerlab.com/acetazine-gotas/logo-alta-sin-fondo/#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76F-E7D2-4F55-9E7E-7F699F0D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AGREED</dc:creator>
  <cp:lastModifiedBy>Matias ML. Labale</cp:lastModifiedBy>
  <cp:revision>2</cp:revision>
  <cp:lastPrinted>2019-02-25T21:10:00Z</cp:lastPrinted>
  <dcterms:created xsi:type="dcterms:W3CDTF">2023-09-06T20:31:00Z</dcterms:created>
  <dcterms:modified xsi:type="dcterms:W3CDTF">2023-09-06T20:31:00Z</dcterms:modified>
</cp:coreProperties>
</file>