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06BF" w14:textId="77777777" w:rsidR="00BC36B2" w:rsidRDefault="00BC36B2" w:rsidP="0041360E">
      <w:pPr>
        <w:jc w:val="both"/>
      </w:pPr>
    </w:p>
    <w:p w14:paraId="62BAF5CB" w14:textId="56DA8108" w:rsidR="009F718B" w:rsidRPr="009F718B" w:rsidRDefault="009F718B" w:rsidP="0041360E">
      <w:pPr>
        <w:jc w:val="both"/>
        <w:rPr>
          <w:rFonts w:ascii="Times New Roman" w:hAnsi="Times New Roman" w:cs="Times New Roman"/>
          <w:b/>
          <w:sz w:val="24"/>
          <w:szCs w:val="24"/>
        </w:rPr>
      </w:pPr>
      <w:r>
        <w:tab/>
      </w:r>
      <w:r>
        <w:tab/>
      </w:r>
      <w:r>
        <w:tab/>
      </w:r>
      <w:r>
        <w:tab/>
      </w:r>
      <w:r>
        <w:tab/>
      </w:r>
      <w:r w:rsidRPr="009F718B">
        <w:rPr>
          <w:rFonts w:ascii="Times New Roman" w:hAnsi="Times New Roman" w:cs="Times New Roman"/>
          <w:b/>
          <w:sz w:val="24"/>
          <w:szCs w:val="24"/>
        </w:rPr>
        <w:t>ABSTRACT</w:t>
      </w:r>
    </w:p>
    <w:p w14:paraId="3CD31985" w14:textId="77777777" w:rsidR="009F718B" w:rsidRPr="009F718B" w:rsidRDefault="009F718B" w:rsidP="0041360E">
      <w:pPr>
        <w:jc w:val="both"/>
        <w:rPr>
          <w:rFonts w:ascii="Times New Roman" w:hAnsi="Times New Roman" w:cs="Times New Roman"/>
          <w:sz w:val="24"/>
          <w:szCs w:val="24"/>
        </w:rPr>
      </w:pPr>
    </w:p>
    <w:p w14:paraId="12B75D8C" w14:textId="77777777" w:rsidR="009F718B" w:rsidRPr="009F718B" w:rsidRDefault="009F718B" w:rsidP="0041360E">
      <w:pPr>
        <w:jc w:val="both"/>
        <w:rPr>
          <w:rFonts w:ascii="Times New Roman" w:hAnsi="Times New Roman" w:cs="Times New Roman"/>
          <w:sz w:val="24"/>
          <w:szCs w:val="24"/>
        </w:rPr>
      </w:pPr>
    </w:p>
    <w:p w14:paraId="46A0171C" w14:textId="6CA33E25" w:rsidR="004B286A" w:rsidRPr="009F718B" w:rsidRDefault="00561BE1" w:rsidP="0041360E">
      <w:pPr>
        <w:jc w:val="both"/>
        <w:rPr>
          <w:rFonts w:ascii="Times New Roman" w:hAnsi="Times New Roman" w:cs="Times New Roman"/>
          <w:sz w:val="24"/>
          <w:szCs w:val="24"/>
        </w:rPr>
      </w:pPr>
      <w:r w:rsidRPr="009F718B">
        <w:rPr>
          <w:rFonts w:ascii="Times New Roman" w:hAnsi="Times New Roman" w:cs="Times New Roman"/>
          <w:sz w:val="24"/>
          <w:szCs w:val="24"/>
        </w:rPr>
        <w:t>Whilst the legal and economic challenges pr</w:t>
      </w:r>
      <w:r w:rsidR="00EF69C3" w:rsidRPr="009F718B">
        <w:rPr>
          <w:rFonts w:ascii="Times New Roman" w:hAnsi="Times New Roman" w:cs="Times New Roman"/>
          <w:sz w:val="24"/>
          <w:szCs w:val="24"/>
        </w:rPr>
        <w:t xml:space="preserve">esented by Brexit are gradually becoming more evident, </w:t>
      </w:r>
      <w:r w:rsidR="002F53F9">
        <w:rPr>
          <w:rFonts w:ascii="Times New Roman" w:hAnsi="Times New Roman" w:cs="Times New Roman"/>
          <w:sz w:val="24"/>
          <w:szCs w:val="24"/>
        </w:rPr>
        <w:t>observations and recommendations are already</w:t>
      </w:r>
      <w:r w:rsidR="00EF69C3" w:rsidRPr="009F718B">
        <w:rPr>
          <w:rFonts w:ascii="Times New Roman" w:hAnsi="Times New Roman" w:cs="Times New Roman"/>
          <w:sz w:val="24"/>
          <w:szCs w:val="24"/>
        </w:rPr>
        <w:t xml:space="preserve"> be</w:t>
      </w:r>
      <w:r w:rsidR="002F53F9">
        <w:rPr>
          <w:rFonts w:ascii="Times New Roman" w:hAnsi="Times New Roman" w:cs="Times New Roman"/>
          <w:sz w:val="24"/>
          <w:szCs w:val="24"/>
        </w:rPr>
        <w:t>ing</w:t>
      </w:r>
      <w:r w:rsidR="00EF69C3" w:rsidRPr="009F718B">
        <w:rPr>
          <w:rFonts w:ascii="Times New Roman" w:hAnsi="Times New Roman" w:cs="Times New Roman"/>
          <w:sz w:val="24"/>
          <w:szCs w:val="24"/>
        </w:rPr>
        <w:t xml:space="preserve"> drawn from consequences of a </w:t>
      </w:r>
      <w:proofErr w:type="gramStart"/>
      <w:r w:rsidR="00EF69C3" w:rsidRPr="009F718B">
        <w:rPr>
          <w:rFonts w:ascii="Times New Roman" w:hAnsi="Times New Roman" w:cs="Times New Roman"/>
          <w:sz w:val="24"/>
          <w:szCs w:val="24"/>
        </w:rPr>
        <w:t>“ no</w:t>
      </w:r>
      <w:proofErr w:type="gramEnd"/>
      <w:r w:rsidR="00EF69C3" w:rsidRPr="009F718B">
        <w:rPr>
          <w:rFonts w:ascii="Times New Roman" w:hAnsi="Times New Roman" w:cs="Times New Roman"/>
          <w:sz w:val="24"/>
          <w:szCs w:val="24"/>
        </w:rPr>
        <w:t xml:space="preserve"> deal scenario”</w:t>
      </w:r>
      <w:r w:rsidR="009B1744">
        <w:rPr>
          <w:rFonts w:ascii="Times New Roman" w:hAnsi="Times New Roman" w:cs="Times New Roman"/>
          <w:sz w:val="24"/>
          <w:szCs w:val="24"/>
        </w:rPr>
        <w:t xml:space="preserve"> and particularly the possibilities o</w:t>
      </w:r>
      <w:r w:rsidR="002F53F9">
        <w:rPr>
          <w:rFonts w:ascii="Times New Roman" w:hAnsi="Times New Roman" w:cs="Times New Roman"/>
          <w:sz w:val="24"/>
          <w:szCs w:val="24"/>
        </w:rPr>
        <w:t>f</w:t>
      </w:r>
      <w:r w:rsidR="009B1744">
        <w:rPr>
          <w:rFonts w:ascii="Times New Roman" w:hAnsi="Times New Roman" w:cs="Times New Roman"/>
          <w:sz w:val="24"/>
          <w:szCs w:val="24"/>
        </w:rPr>
        <w:t xml:space="preserve"> entering into a variant of a Free Trade Agreement which should, prevent a “no deal” situation</w:t>
      </w:r>
      <w:r w:rsidR="00EF69C3" w:rsidRPr="009F718B">
        <w:rPr>
          <w:rFonts w:ascii="Times New Roman" w:hAnsi="Times New Roman" w:cs="Times New Roman"/>
          <w:sz w:val="24"/>
          <w:szCs w:val="24"/>
        </w:rPr>
        <w:t>.</w:t>
      </w:r>
      <w:r w:rsidR="008815F7">
        <w:rPr>
          <w:rFonts w:ascii="Times New Roman" w:hAnsi="Times New Roman" w:cs="Times New Roman"/>
          <w:sz w:val="24"/>
          <w:szCs w:val="24"/>
        </w:rPr>
        <w:t xml:space="preserve"> Such a Free Trade Agreement existing </w:t>
      </w:r>
      <w:r w:rsidR="008815F7" w:rsidRPr="00E22E89">
        <w:rPr>
          <w:rFonts w:ascii="Times New Roman" w:hAnsi="Times New Roman" w:cs="Times New Roman"/>
          <w:sz w:val="24"/>
          <w:szCs w:val="24"/>
        </w:rPr>
        <w:t>between the current 28 EU Member States and the three EEA European Free Trade Association (EFTA) States Iceland, Liechtenstein and Norway (EEA Internal Market)</w:t>
      </w:r>
      <w:r w:rsidR="009B1744">
        <w:rPr>
          <w:rFonts w:ascii="Times New Roman" w:hAnsi="Times New Roman" w:cs="Times New Roman"/>
          <w:sz w:val="24"/>
          <w:szCs w:val="24"/>
        </w:rPr>
        <w:t xml:space="preserve"> This paper, amongst other objectives, is aimed at highlighting </w:t>
      </w:r>
      <w:r w:rsidR="008815F7">
        <w:rPr>
          <w:rFonts w:ascii="Times New Roman" w:hAnsi="Times New Roman" w:cs="Times New Roman"/>
          <w:sz w:val="24"/>
          <w:szCs w:val="24"/>
        </w:rPr>
        <w:t xml:space="preserve">such </w:t>
      </w:r>
      <w:r w:rsidR="009B1744">
        <w:rPr>
          <w:rFonts w:ascii="Times New Roman" w:hAnsi="Times New Roman" w:cs="Times New Roman"/>
          <w:sz w:val="24"/>
          <w:szCs w:val="24"/>
        </w:rPr>
        <w:t>proposals which have been put forward to avert a “no deal scenario”.</w:t>
      </w:r>
      <w:r w:rsidR="00EF69C3" w:rsidRPr="009F718B">
        <w:rPr>
          <w:rFonts w:ascii="Times New Roman" w:hAnsi="Times New Roman" w:cs="Times New Roman"/>
          <w:sz w:val="24"/>
          <w:szCs w:val="24"/>
        </w:rPr>
        <w:t xml:space="preserve"> It is obvious that change – and more specifically, fundamental legislative, regulatory overhauls, will require not only the incorporation of expertise from different fields, but also time consuming and costly resources to address the demands of the transitional and implementation periods of such legislatively transformed landscapes.</w:t>
      </w:r>
    </w:p>
    <w:p w14:paraId="64AC060B" w14:textId="2918E782" w:rsidR="00EF69C3" w:rsidRPr="009F718B" w:rsidRDefault="00EF69C3" w:rsidP="0041360E">
      <w:pPr>
        <w:jc w:val="both"/>
        <w:rPr>
          <w:rFonts w:ascii="Times New Roman" w:hAnsi="Times New Roman" w:cs="Times New Roman"/>
          <w:sz w:val="24"/>
          <w:szCs w:val="24"/>
        </w:rPr>
      </w:pPr>
      <w:r w:rsidRPr="009F718B">
        <w:rPr>
          <w:rFonts w:ascii="Times New Roman" w:hAnsi="Times New Roman" w:cs="Times New Roman"/>
          <w:sz w:val="24"/>
          <w:szCs w:val="24"/>
        </w:rPr>
        <w:t xml:space="preserve">Certainly, a gradual process of incorporating and adapting to new regulatory and legislative </w:t>
      </w:r>
      <w:r w:rsidR="00AF3767">
        <w:rPr>
          <w:rFonts w:ascii="Times New Roman" w:hAnsi="Times New Roman" w:cs="Times New Roman"/>
          <w:sz w:val="24"/>
          <w:szCs w:val="24"/>
        </w:rPr>
        <w:t xml:space="preserve">changes and </w:t>
      </w:r>
      <w:r w:rsidRPr="009F718B">
        <w:rPr>
          <w:rFonts w:ascii="Times New Roman" w:hAnsi="Times New Roman" w:cs="Times New Roman"/>
          <w:sz w:val="24"/>
          <w:szCs w:val="24"/>
        </w:rPr>
        <w:t>environments – and particularly in respect of economically sensitive related matters, would require not only thorough and dedicated observatory and monitoring periods, but also one which facilitates and encourages a process of greater democratic accountability and transparency to be incorporated into the legislative process</w:t>
      </w:r>
      <w:r w:rsidR="00043A2D">
        <w:rPr>
          <w:rFonts w:ascii="Times New Roman" w:hAnsi="Times New Roman" w:cs="Times New Roman"/>
          <w:sz w:val="24"/>
          <w:szCs w:val="24"/>
        </w:rPr>
        <w:t>es</w:t>
      </w:r>
      <w:r w:rsidRPr="009F718B">
        <w:rPr>
          <w:rFonts w:ascii="Times New Roman" w:hAnsi="Times New Roman" w:cs="Times New Roman"/>
          <w:sz w:val="24"/>
          <w:szCs w:val="24"/>
        </w:rPr>
        <w:t>.</w:t>
      </w:r>
    </w:p>
    <w:p w14:paraId="70DC5EB5" w14:textId="24D53926" w:rsidR="00EF69C3" w:rsidRPr="009F718B" w:rsidRDefault="00E21ECE" w:rsidP="0041360E">
      <w:pPr>
        <w:jc w:val="both"/>
        <w:rPr>
          <w:rFonts w:ascii="Times New Roman" w:hAnsi="Times New Roman" w:cs="Times New Roman"/>
          <w:sz w:val="24"/>
          <w:szCs w:val="24"/>
        </w:rPr>
      </w:pPr>
      <w:r>
        <w:rPr>
          <w:rFonts w:ascii="Times New Roman" w:hAnsi="Times New Roman" w:cs="Times New Roman"/>
          <w:sz w:val="24"/>
          <w:szCs w:val="24"/>
        </w:rPr>
        <w:t>Even though</w:t>
      </w:r>
      <w:r w:rsidR="00EF69C3" w:rsidRPr="009F718B">
        <w:rPr>
          <w:rFonts w:ascii="Times New Roman" w:hAnsi="Times New Roman" w:cs="Times New Roman"/>
          <w:sz w:val="24"/>
          <w:szCs w:val="24"/>
        </w:rPr>
        <w:t xml:space="preserve"> </w:t>
      </w:r>
      <w:r w:rsidR="0041360E" w:rsidRPr="009F718B">
        <w:rPr>
          <w:rFonts w:ascii="Times New Roman" w:hAnsi="Times New Roman" w:cs="Times New Roman"/>
          <w:sz w:val="24"/>
          <w:szCs w:val="24"/>
        </w:rPr>
        <w:t xml:space="preserve">Brexit has generated a great degree of </w:t>
      </w:r>
      <w:r w:rsidR="00EF69C3" w:rsidRPr="009F718B">
        <w:rPr>
          <w:rFonts w:ascii="Times New Roman" w:hAnsi="Times New Roman" w:cs="Times New Roman"/>
          <w:sz w:val="24"/>
          <w:szCs w:val="24"/>
        </w:rPr>
        <w:t xml:space="preserve">economic uncertainty </w:t>
      </w:r>
      <w:r w:rsidR="0041360E" w:rsidRPr="009F718B">
        <w:rPr>
          <w:rFonts w:ascii="Times New Roman" w:hAnsi="Times New Roman" w:cs="Times New Roman"/>
          <w:sz w:val="24"/>
          <w:szCs w:val="24"/>
        </w:rPr>
        <w:t xml:space="preserve">– which has in turn </w:t>
      </w:r>
      <w:r w:rsidR="00EF69C3" w:rsidRPr="009F718B">
        <w:rPr>
          <w:rFonts w:ascii="Times New Roman" w:hAnsi="Times New Roman" w:cs="Times New Roman"/>
          <w:sz w:val="24"/>
          <w:szCs w:val="24"/>
        </w:rPr>
        <w:t>present</w:t>
      </w:r>
      <w:r w:rsidR="0041360E" w:rsidRPr="009F718B">
        <w:rPr>
          <w:rFonts w:ascii="Times New Roman" w:hAnsi="Times New Roman" w:cs="Times New Roman"/>
          <w:sz w:val="24"/>
          <w:szCs w:val="24"/>
        </w:rPr>
        <w:t>ed</w:t>
      </w:r>
      <w:r w:rsidR="00EF69C3" w:rsidRPr="009F718B">
        <w:rPr>
          <w:rFonts w:ascii="Times New Roman" w:hAnsi="Times New Roman" w:cs="Times New Roman"/>
          <w:sz w:val="24"/>
          <w:szCs w:val="24"/>
        </w:rPr>
        <w:t xml:space="preserve"> challenges – as well as consequences, i</w:t>
      </w:r>
      <w:r w:rsidR="0041360E" w:rsidRPr="009F718B">
        <w:rPr>
          <w:rFonts w:ascii="Times New Roman" w:hAnsi="Times New Roman" w:cs="Times New Roman"/>
          <w:sz w:val="24"/>
          <w:szCs w:val="24"/>
        </w:rPr>
        <w:t>t also present</w:t>
      </w:r>
      <w:r w:rsidR="00043A2D">
        <w:rPr>
          <w:rFonts w:ascii="Times New Roman" w:hAnsi="Times New Roman" w:cs="Times New Roman"/>
          <w:sz w:val="24"/>
          <w:szCs w:val="24"/>
        </w:rPr>
        <w:t>s</w:t>
      </w:r>
      <w:r w:rsidR="0041360E" w:rsidRPr="009F718B">
        <w:rPr>
          <w:rFonts w:ascii="Times New Roman" w:hAnsi="Times New Roman" w:cs="Times New Roman"/>
          <w:sz w:val="24"/>
          <w:szCs w:val="24"/>
        </w:rPr>
        <w:t xml:space="preserve"> opportunities for new actors to engage and influence vital decision making aspects in areas which particularly revolve around information technology, sustainable development, innovation – as well hybrid financial instruments and volatile mediums</w:t>
      </w:r>
      <w:r w:rsidR="00043A2D">
        <w:rPr>
          <w:rFonts w:ascii="Times New Roman" w:hAnsi="Times New Roman" w:cs="Times New Roman"/>
          <w:sz w:val="24"/>
          <w:szCs w:val="24"/>
        </w:rPr>
        <w:t xml:space="preserve"> which are</w:t>
      </w:r>
      <w:r w:rsidR="0041360E" w:rsidRPr="009F718B">
        <w:rPr>
          <w:rFonts w:ascii="Times New Roman" w:hAnsi="Times New Roman" w:cs="Times New Roman"/>
          <w:sz w:val="24"/>
          <w:szCs w:val="24"/>
        </w:rPr>
        <w:t xml:space="preserve"> embodie</w:t>
      </w:r>
      <w:r w:rsidR="00043A2D">
        <w:rPr>
          <w:rFonts w:ascii="Times New Roman" w:hAnsi="Times New Roman" w:cs="Times New Roman"/>
          <w:sz w:val="24"/>
          <w:szCs w:val="24"/>
        </w:rPr>
        <w:t>d</w:t>
      </w:r>
      <w:r w:rsidR="0041360E" w:rsidRPr="009F718B">
        <w:rPr>
          <w:rFonts w:ascii="Times New Roman" w:hAnsi="Times New Roman" w:cs="Times New Roman"/>
          <w:sz w:val="24"/>
          <w:szCs w:val="24"/>
        </w:rPr>
        <w:t xml:space="preserve"> and personified by crypto currencies</w:t>
      </w:r>
      <w:r w:rsidR="00043A2D">
        <w:rPr>
          <w:rFonts w:ascii="Times New Roman" w:hAnsi="Times New Roman" w:cs="Times New Roman"/>
          <w:sz w:val="24"/>
          <w:szCs w:val="24"/>
        </w:rPr>
        <w:t>, derivatives and other complex financial instruments and mediums of exchange</w:t>
      </w:r>
      <w:r w:rsidR="0041360E" w:rsidRPr="009F718B">
        <w:rPr>
          <w:rFonts w:ascii="Times New Roman" w:hAnsi="Times New Roman" w:cs="Times New Roman"/>
          <w:sz w:val="24"/>
          <w:szCs w:val="24"/>
        </w:rPr>
        <w:t xml:space="preserve"> -  all of which are reflective of a rapidly changing and evolving financial environment.</w:t>
      </w:r>
    </w:p>
    <w:p w14:paraId="32A5DC13" w14:textId="189408FE" w:rsidR="0041360E" w:rsidRDefault="0041360E" w:rsidP="0041360E">
      <w:pPr>
        <w:jc w:val="both"/>
        <w:rPr>
          <w:rFonts w:ascii="Times New Roman" w:hAnsi="Times New Roman" w:cs="Times New Roman"/>
          <w:sz w:val="24"/>
          <w:szCs w:val="24"/>
        </w:rPr>
      </w:pPr>
      <w:r w:rsidRPr="009F718B">
        <w:rPr>
          <w:rFonts w:ascii="Times New Roman" w:hAnsi="Times New Roman" w:cs="Times New Roman"/>
          <w:sz w:val="24"/>
          <w:szCs w:val="24"/>
        </w:rPr>
        <w:t>The challenges now involve to a larger extent, the manner and the degree of relevance to which vital and dominating actors and institutions will be accurately represented and impact future legislations – particularly those which focus around issues relating to trade, environment and sustainable development</w:t>
      </w:r>
      <w:r w:rsidR="00B16C78">
        <w:rPr>
          <w:rFonts w:ascii="Times New Roman" w:hAnsi="Times New Roman" w:cs="Times New Roman"/>
          <w:sz w:val="24"/>
          <w:szCs w:val="24"/>
        </w:rPr>
        <w:t xml:space="preserve"> policies</w:t>
      </w:r>
      <w:r w:rsidRPr="009F718B">
        <w:rPr>
          <w:rFonts w:ascii="Times New Roman" w:hAnsi="Times New Roman" w:cs="Times New Roman"/>
          <w:sz w:val="24"/>
          <w:szCs w:val="24"/>
        </w:rPr>
        <w:t>.</w:t>
      </w:r>
    </w:p>
    <w:p w14:paraId="6B14DB99" w14:textId="1A397FB6" w:rsidR="009F718B" w:rsidRDefault="009F718B" w:rsidP="0041360E">
      <w:pPr>
        <w:jc w:val="both"/>
        <w:rPr>
          <w:rFonts w:ascii="Times New Roman" w:hAnsi="Times New Roman" w:cs="Times New Roman"/>
          <w:sz w:val="24"/>
          <w:szCs w:val="24"/>
        </w:rPr>
      </w:pPr>
    </w:p>
    <w:p w14:paraId="2AE517CD" w14:textId="1406E923" w:rsidR="009F718B" w:rsidRDefault="00CB478C" w:rsidP="0041360E">
      <w:pPr>
        <w:jc w:val="both"/>
        <w:rPr>
          <w:rFonts w:ascii="Times New Roman" w:hAnsi="Times New Roman" w:cs="Times New Roman"/>
          <w:sz w:val="24"/>
          <w:szCs w:val="24"/>
        </w:rPr>
      </w:pPr>
      <w:r>
        <w:rPr>
          <w:rFonts w:ascii="Times New Roman" w:hAnsi="Times New Roman" w:cs="Times New Roman"/>
          <w:sz w:val="24"/>
          <w:szCs w:val="24"/>
        </w:rPr>
        <w:t>Key words: financial services, Brexit, Information Technology, innovation, e commerce, sustainability, GATS</w:t>
      </w:r>
    </w:p>
    <w:p w14:paraId="65A1BF37" w14:textId="09317D98" w:rsidR="009F718B" w:rsidRDefault="009F718B" w:rsidP="0041360E">
      <w:pPr>
        <w:jc w:val="both"/>
        <w:rPr>
          <w:rFonts w:ascii="Times New Roman" w:hAnsi="Times New Roman" w:cs="Times New Roman"/>
          <w:sz w:val="24"/>
          <w:szCs w:val="24"/>
        </w:rPr>
      </w:pPr>
    </w:p>
    <w:p w14:paraId="4AABF72D" w14:textId="423653B6" w:rsidR="009F718B" w:rsidRDefault="009F718B" w:rsidP="0041360E">
      <w:pPr>
        <w:jc w:val="both"/>
        <w:rPr>
          <w:rFonts w:ascii="Times New Roman" w:hAnsi="Times New Roman" w:cs="Times New Roman"/>
          <w:sz w:val="24"/>
          <w:szCs w:val="24"/>
        </w:rPr>
      </w:pPr>
    </w:p>
    <w:p w14:paraId="39364934" w14:textId="72A332CB" w:rsidR="009F718B" w:rsidRDefault="009F718B" w:rsidP="0041360E">
      <w:pPr>
        <w:jc w:val="both"/>
        <w:rPr>
          <w:rFonts w:ascii="Times New Roman" w:hAnsi="Times New Roman" w:cs="Times New Roman"/>
          <w:sz w:val="24"/>
          <w:szCs w:val="24"/>
        </w:rPr>
      </w:pPr>
    </w:p>
    <w:p w14:paraId="531144E6" w14:textId="588D05C4" w:rsidR="009F718B" w:rsidRDefault="009F718B" w:rsidP="0041360E">
      <w:pPr>
        <w:jc w:val="both"/>
        <w:rPr>
          <w:rFonts w:ascii="Times New Roman" w:hAnsi="Times New Roman" w:cs="Times New Roman"/>
          <w:sz w:val="24"/>
          <w:szCs w:val="24"/>
        </w:rPr>
      </w:pPr>
    </w:p>
    <w:p w14:paraId="352324B8" w14:textId="20446BA1" w:rsidR="009F718B" w:rsidRPr="004D096A" w:rsidRDefault="009F718B" w:rsidP="004D096A">
      <w:pPr>
        <w:jc w:val="center"/>
        <w:rPr>
          <w:rFonts w:ascii="Times New Roman" w:hAnsi="Times New Roman" w:cs="Times New Roman"/>
          <w:b/>
          <w:sz w:val="28"/>
          <w:szCs w:val="28"/>
        </w:rPr>
      </w:pPr>
    </w:p>
    <w:p w14:paraId="7BE1CF95" w14:textId="55E787DC" w:rsidR="009F718B" w:rsidRDefault="00BC36B2" w:rsidP="004D096A">
      <w:pPr>
        <w:jc w:val="center"/>
        <w:rPr>
          <w:rFonts w:ascii="Times New Roman" w:hAnsi="Times New Roman" w:cs="Times New Roman"/>
          <w:b/>
          <w:sz w:val="28"/>
          <w:szCs w:val="28"/>
        </w:rPr>
      </w:pPr>
      <w:r w:rsidRPr="004D096A">
        <w:rPr>
          <w:rFonts w:ascii="Times New Roman" w:hAnsi="Times New Roman" w:cs="Times New Roman"/>
          <w:b/>
          <w:sz w:val="28"/>
          <w:szCs w:val="28"/>
        </w:rPr>
        <w:t xml:space="preserve">Avoiding a “No Deal” Scenario: </w:t>
      </w:r>
      <w:r w:rsidR="006E2247" w:rsidRPr="004D096A">
        <w:rPr>
          <w:rFonts w:ascii="Times New Roman" w:hAnsi="Times New Roman" w:cs="Times New Roman"/>
          <w:b/>
          <w:sz w:val="28"/>
          <w:szCs w:val="28"/>
        </w:rPr>
        <w:t>Free Trade Agreements, Citizenship and Economic Rights</w:t>
      </w:r>
    </w:p>
    <w:p w14:paraId="2E53E4A1" w14:textId="77777777" w:rsidR="00117DFC" w:rsidRPr="004D096A" w:rsidRDefault="00117DFC" w:rsidP="004D096A">
      <w:pPr>
        <w:jc w:val="center"/>
        <w:rPr>
          <w:rFonts w:ascii="Times New Roman" w:hAnsi="Times New Roman" w:cs="Times New Roman"/>
          <w:b/>
          <w:sz w:val="28"/>
          <w:szCs w:val="28"/>
        </w:rPr>
      </w:pPr>
    </w:p>
    <w:p w14:paraId="21856E0B" w14:textId="6376C8EE" w:rsidR="009F718B" w:rsidRPr="00117DFC" w:rsidRDefault="00117DFC" w:rsidP="0041360E">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7DFC">
        <w:rPr>
          <w:rFonts w:ascii="Times New Roman" w:hAnsi="Times New Roman" w:cs="Times New Roman"/>
          <w:i/>
          <w:sz w:val="24"/>
          <w:szCs w:val="24"/>
        </w:rPr>
        <w:t>Prof Marianne Ojo</w:t>
      </w:r>
      <w:r>
        <w:rPr>
          <w:rStyle w:val="FootnoteReference"/>
          <w:rFonts w:ascii="Times New Roman" w:hAnsi="Times New Roman" w:cs="Times New Roman"/>
          <w:i/>
          <w:sz w:val="24"/>
          <w:szCs w:val="24"/>
        </w:rPr>
        <w:footnoteReference w:id="1"/>
      </w:r>
    </w:p>
    <w:p w14:paraId="78FA2A4E" w14:textId="1CE0B877" w:rsidR="009F718B" w:rsidRPr="0000377D" w:rsidRDefault="009F718B" w:rsidP="0041360E">
      <w:pPr>
        <w:jc w:val="both"/>
        <w:rPr>
          <w:rFonts w:ascii="Times New Roman" w:hAnsi="Times New Roman" w:cs="Times New Roman"/>
          <w:b/>
          <w:sz w:val="24"/>
          <w:szCs w:val="24"/>
        </w:rPr>
      </w:pPr>
      <w:r w:rsidRPr="0000377D">
        <w:rPr>
          <w:rFonts w:ascii="Times New Roman" w:hAnsi="Times New Roman" w:cs="Times New Roman"/>
          <w:b/>
          <w:sz w:val="24"/>
          <w:szCs w:val="24"/>
        </w:rPr>
        <w:t>Introduction</w:t>
      </w:r>
    </w:p>
    <w:p w14:paraId="69E53F4E" w14:textId="5158EC1E" w:rsidR="0000377D" w:rsidRDefault="0000377D" w:rsidP="0041360E">
      <w:pPr>
        <w:jc w:val="both"/>
        <w:rPr>
          <w:rFonts w:ascii="Times New Roman" w:hAnsi="Times New Roman" w:cs="Times New Roman"/>
          <w:sz w:val="24"/>
          <w:szCs w:val="24"/>
        </w:rPr>
      </w:pPr>
    </w:p>
    <w:p w14:paraId="5B670BD2" w14:textId="4E74A9FB" w:rsidR="00A95857" w:rsidRDefault="00A95857" w:rsidP="0041360E">
      <w:pPr>
        <w:jc w:val="both"/>
        <w:rPr>
          <w:rFonts w:ascii="Times New Roman" w:hAnsi="Times New Roman" w:cs="Times New Roman"/>
          <w:sz w:val="24"/>
          <w:szCs w:val="24"/>
        </w:rPr>
      </w:pPr>
      <w:r>
        <w:rPr>
          <w:rFonts w:ascii="Times New Roman" w:hAnsi="Times New Roman" w:cs="Times New Roman"/>
          <w:sz w:val="24"/>
          <w:szCs w:val="24"/>
        </w:rPr>
        <w:t>The importance attributed to the concept of “EU citizenship” was recently brought to the fore during recent Brexit negotiations, whereby it was confirmed as a vital element in the Brexit negotiations – other issues relating primarily to the UK-Irish border, as well as the need to resolve potential internal market issues. Consequences for EU citizens living in the United Kingdom – as well as those UK citizens living in other parts of the European Union and their status in the event of a “no deal” Brexit particularly, constitutes one of the principal agendas – even though this was resolved and appears to have presented less challenges than matters relating to regulatory alignment and the UK-Irish border.</w:t>
      </w:r>
      <w:r w:rsidR="00DB7DBB">
        <w:rPr>
          <w:rFonts w:ascii="Times New Roman" w:hAnsi="Times New Roman" w:cs="Times New Roman"/>
          <w:sz w:val="24"/>
          <w:szCs w:val="24"/>
        </w:rPr>
        <w:t xml:space="preserve"> The connection between all areas is evident from the underlying basis and objectives of the single market as well as the economic rights which embody freedom of movement within the internal market.</w:t>
      </w:r>
    </w:p>
    <w:p w14:paraId="74117E60" w14:textId="67BA1C86" w:rsidR="009F718B" w:rsidRPr="000168F6" w:rsidRDefault="009F718B" w:rsidP="0041360E">
      <w:pPr>
        <w:jc w:val="both"/>
        <w:rPr>
          <w:rFonts w:ascii="Times New Roman" w:hAnsi="Times New Roman" w:cs="Times New Roman"/>
          <w:i/>
          <w:sz w:val="24"/>
          <w:szCs w:val="24"/>
        </w:rPr>
      </w:pPr>
      <w:r w:rsidRPr="000168F6">
        <w:rPr>
          <w:rFonts w:ascii="Times New Roman" w:hAnsi="Times New Roman" w:cs="Times New Roman"/>
          <w:i/>
          <w:sz w:val="24"/>
          <w:szCs w:val="24"/>
        </w:rPr>
        <w:t>“</w:t>
      </w:r>
      <w:r w:rsidR="00EC1E6B" w:rsidRPr="000168F6">
        <w:rPr>
          <w:rFonts w:ascii="Times New Roman" w:hAnsi="Times New Roman" w:cs="Times New Roman"/>
          <w:i/>
          <w:sz w:val="24"/>
          <w:szCs w:val="24"/>
        </w:rPr>
        <w:t>The notion of EU citizenship started from economic rights, leading to the recognition of rights to all EU citizens, regardless of their economic status, enshrined in the Charter of Fundamental Rights of the European Union. Following Brexit, we expect an opposite development, with a shift from citizens’ rights back to the recognition of speciﬁc economic rights to individuals linked to single freedoms of the internal market”.</w:t>
      </w:r>
      <w:r w:rsidR="00EC1E6B" w:rsidRPr="000168F6">
        <w:rPr>
          <w:rStyle w:val="FootnoteReference"/>
          <w:rFonts w:ascii="Times New Roman" w:hAnsi="Times New Roman" w:cs="Times New Roman"/>
          <w:i/>
          <w:sz w:val="24"/>
          <w:szCs w:val="24"/>
        </w:rPr>
        <w:footnoteReference w:id="2"/>
      </w:r>
    </w:p>
    <w:p w14:paraId="2C655A5D" w14:textId="77777777" w:rsidR="004D096A" w:rsidRDefault="004D096A" w:rsidP="0041360E">
      <w:pPr>
        <w:jc w:val="both"/>
        <w:rPr>
          <w:rFonts w:ascii="Times New Roman" w:hAnsi="Times New Roman" w:cs="Times New Roman"/>
          <w:sz w:val="24"/>
          <w:szCs w:val="24"/>
        </w:rPr>
      </w:pPr>
    </w:p>
    <w:p w14:paraId="4F5B7BC1" w14:textId="5072267F" w:rsidR="0000377D" w:rsidRDefault="00C13758" w:rsidP="0041360E">
      <w:pPr>
        <w:jc w:val="both"/>
        <w:rPr>
          <w:rFonts w:ascii="Times New Roman" w:hAnsi="Times New Roman" w:cs="Times New Roman"/>
          <w:sz w:val="24"/>
          <w:szCs w:val="24"/>
        </w:rPr>
      </w:pPr>
      <w:r w:rsidRPr="00C13758">
        <w:rPr>
          <w:rFonts w:ascii="Times New Roman" w:hAnsi="Times New Roman" w:cs="Times New Roman"/>
          <w:sz w:val="24"/>
          <w:szCs w:val="24"/>
        </w:rPr>
        <w:t xml:space="preserve">The above statement may appear to contradict that which was postulated by </w:t>
      </w:r>
      <w:proofErr w:type="spellStart"/>
      <w:r w:rsidRPr="00C13758">
        <w:rPr>
          <w:rFonts w:ascii="Times New Roman" w:hAnsi="Times New Roman" w:cs="Times New Roman"/>
          <w:sz w:val="24"/>
          <w:szCs w:val="24"/>
        </w:rPr>
        <w:t>Circolo</w:t>
      </w:r>
      <w:proofErr w:type="spellEnd"/>
      <w:r w:rsidRPr="00C13758">
        <w:rPr>
          <w:rFonts w:ascii="Times New Roman" w:hAnsi="Times New Roman" w:cs="Times New Roman"/>
          <w:sz w:val="24"/>
          <w:szCs w:val="24"/>
        </w:rPr>
        <w:t xml:space="preserve"> et al,</w:t>
      </w:r>
      <w:r>
        <w:rPr>
          <w:rStyle w:val="FootnoteReference"/>
          <w:rFonts w:ascii="Times New Roman" w:hAnsi="Times New Roman" w:cs="Times New Roman"/>
          <w:sz w:val="24"/>
          <w:szCs w:val="24"/>
        </w:rPr>
        <w:footnoteReference w:id="3"/>
      </w:r>
      <w:r w:rsidRPr="00C13758">
        <w:rPr>
          <w:rFonts w:ascii="Times New Roman" w:hAnsi="Times New Roman" w:cs="Times New Roman"/>
          <w:sz w:val="24"/>
          <w:szCs w:val="24"/>
        </w:rPr>
        <w:t xml:space="preserve"> in the</w:t>
      </w:r>
      <w:r w:rsidR="00922EEA">
        <w:rPr>
          <w:rFonts w:ascii="Times New Roman" w:hAnsi="Times New Roman" w:cs="Times New Roman"/>
          <w:sz w:val="24"/>
          <w:szCs w:val="24"/>
        </w:rPr>
        <w:t>ir</w:t>
      </w:r>
      <w:r w:rsidRPr="00C13758">
        <w:rPr>
          <w:rFonts w:ascii="Times New Roman" w:hAnsi="Times New Roman" w:cs="Times New Roman"/>
          <w:sz w:val="24"/>
          <w:szCs w:val="24"/>
        </w:rPr>
        <w:t xml:space="preserve"> article:</w:t>
      </w:r>
    </w:p>
    <w:p w14:paraId="463BA94F" w14:textId="77777777" w:rsidR="00EC240D" w:rsidRPr="00C13758" w:rsidRDefault="00EC240D" w:rsidP="0041360E">
      <w:pPr>
        <w:jc w:val="both"/>
        <w:rPr>
          <w:rFonts w:ascii="Times New Roman" w:hAnsi="Times New Roman" w:cs="Times New Roman"/>
          <w:sz w:val="24"/>
          <w:szCs w:val="24"/>
        </w:rPr>
      </w:pPr>
    </w:p>
    <w:p w14:paraId="4D779833" w14:textId="0E0217E6" w:rsidR="0000377D" w:rsidRPr="001B6885" w:rsidRDefault="00C13758" w:rsidP="0041360E">
      <w:pPr>
        <w:pStyle w:val="ListParagraph"/>
        <w:numPr>
          <w:ilvl w:val="0"/>
          <w:numId w:val="4"/>
        </w:numPr>
        <w:jc w:val="both"/>
        <w:rPr>
          <w:rFonts w:ascii="Times New Roman" w:hAnsi="Times New Roman" w:cs="Times New Roman"/>
          <w:sz w:val="24"/>
          <w:szCs w:val="24"/>
        </w:rPr>
      </w:pPr>
      <w:r w:rsidRPr="00420875">
        <w:rPr>
          <w:rFonts w:ascii="Times New Roman" w:eastAsia="Times New Roman" w:hAnsi="Times New Roman" w:cs="Times New Roman"/>
          <w:spacing w:val="1"/>
          <w:sz w:val="24"/>
          <w:szCs w:val="24"/>
        </w:rPr>
        <w:lastRenderedPageBreak/>
        <w:t>Accession and withdrawal are autonomous rights of the states and the membership is their privilege, which cannot be taken away by a decision of an institution or a decision of other Member States.</w:t>
      </w:r>
    </w:p>
    <w:p w14:paraId="630D3D5C" w14:textId="34C0F1D8" w:rsidR="00893368" w:rsidRPr="001B6885" w:rsidRDefault="00893368" w:rsidP="0041360E">
      <w:pPr>
        <w:jc w:val="both"/>
        <w:rPr>
          <w:rFonts w:ascii="Times New Roman" w:hAnsi="Times New Roman" w:cs="Times New Roman"/>
          <w:sz w:val="24"/>
          <w:szCs w:val="24"/>
        </w:rPr>
      </w:pPr>
      <w:r w:rsidRPr="001B6885">
        <w:rPr>
          <w:rFonts w:ascii="Times New Roman" w:hAnsi="Times New Roman" w:cs="Times New Roman"/>
          <w:sz w:val="24"/>
          <w:szCs w:val="24"/>
        </w:rPr>
        <w:t>However, it can be inferred that although the decision of an individual member state to withdraw from the European Union, should not impact on the status and membership of other member states, such a decision should be respected and regarded as the mandate of the citizens of the member state which has chosen and voted to withdraw from the European Union.</w:t>
      </w:r>
    </w:p>
    <w:p w14:paraId="690AAB88" w14:textId="29D17706" w:rsidR="00893368" w:rsidRPr="001B6885" w:rsidRDefault="001B6885" w:rsidP="0041360E">
      <w:pPr>
        <w:jc w:val="both"/>
        <w:rPr>
          <w:rFonts w:ascii="Times New Roman" w:hAnsi="Times New Roman" w:cs="Times New Roman"/>
          <w:sz w:val="24"/>
          <w:szCs w:val="24"/>
        </w:rPr>
      </w:pPr>
      <w:r w:rsidRPr="001B6885">
        <w:rPr>
          <w:rFonts w:ascii="Times New Roman" w:hAnsi="Times New Roman" w:cs="Times New Roman"/>
          <w:sz w:val="24"/>
          <w:szCs w:val="24"/>
        </w:rPr>
        <w:t xml:space="preserve">The present </w:t>
      </w:r>
      <w:r>
        <w:rPr>
          <w:rFonts w:ascii="Times New Roman" w:hAnsi="Times New Roman" w:cs="Times New Roman"/>
          <w:sz w:val="24"/>
          <w:szCs w:val="24"/>
        </w:rPr>
        <w:t xml:space="preserve">challenges of the UK’s decision to withdraw from the European Union is even compounded further by the fact that it is an unprecedented one. Given such a unique situation, various deliberations and recommendations have been put forward in the event of a “no deal” Brexit as well as other proposals aimed at averting disastrous and disrupting consequences which could emanate from such a situation. </w:t>
      </w:r>
    </w:p>
    <w:p w14:paraId="49A38612" w14:textId="77777777" w:rsidR="00BF7D14" w:rsidRDefault="00BF7D14" w:rsidP="0041360E">
      <w:pPr>
        <w:jc w:val="both"/>
        <w:rPr>
          <w:rFonts w:ascii="Times New Roman" w:hAnsi="Times New Roman" w:cs="Times New Roman"/>
          <w:sz w:val="24"/>
          <w:szCs w:val="24"/>
        </w:rPr>
      </w:pPr>
    </w:p>
    <w:p w14:paraId="03251CBF" w14:textId="03A78A77" w:rsidR="00930DB4" w:rsidRPr="0000377D" w:rsidRDefault="00EC1E6B" w:rsidP="0041360E">
      <w:pPr>
        <w:jc w:val="both"/>
        <w:rPr>
          <w:rFonts w:ascii="Times New Roman" w:hAnsi="Times New Roman" w:cs="Times New Roman"/>
          <w:b/>
          <w:sz w:val="24"/>
          <w:szCs w:val="24"/>
        </w:rPr>
      </w:pPr>
      <w:r w:rsidRPr="0000377D">
        <w:rPr>
          <w:rFonts w:ascii="Times New Roman" w:hAnsi="Times New Roman" w:cs="Times New Roman"/>
          <w:b/>
          <w:sz w:val="24"/>
          <w:szCs w:val="24"/>
        </w:rPr>
        <w:t xml:space="preserve">Fundamental </w:t>
      </w:r>
      <w:r w:rsidR="00CB27D1" w:rsidRPr="0000377D">
        <w:rPr>
          <w:rFonts w:ascii="Times New Roman" w:hAnsi="Times New Roman" w:cs="Times New Roman"/>
          <w:b/>
          <w:sz w:val="24"/>
          <w:szCs w:val="24"/>
        </w:rPr>
        <w:t>Treaty F</w:t>
      </w:r>
      <w:r w:rsidRPr="0000377D">
        <w:rPr>
          <w:rFonts w:ascii="Times New Roman" w:hAnsi="Times New Roman" w:cs="Times New Roman"/>
          <w:b/>
          <w:sz w:val="24"/>
          <w:szCs w:val="24"/>
        </w:rPr>
        <w:t>reedoms</w:t>
      </w:r>
    </w:p>
    <w:p w14:paraId="4EBA5DBB" w14:textId="576E970D" w:rsidR="00C00D4A" w:rsidRPr="0000377D" w:rsidRDefault="00C00D4A" w:rsidP="0000377D">
      <w:pPr>
        <w:pStyle w:val="ListParagraph"/>
        <w:numPr>
          <w:ilvl w:val="0"/>
          <w:numId w:val="1"/>
        </w:numPr>
        <w:jc w:val="both"/>
        <w:rPr>
          <w:rFonts w:ascii="Times New Roman" w:hAnsi="Times New Roman" w:cs="Times New Roman"/>
          <w:sz w:val="24"/>
          <w:szCs w:val="24"/>
        </w:rPr>
      </w:pPr>
      <w:r w:rsidRPr="0000377D">
        <w:rPr>
          <w:rFonts w:ascii="Times New Roman" w:hAnsi="Times New Roman" w:cs="Times New Roman"/>
          <w:sz w:val="24"/>
          <w:szCs w:val="24"/>
        </w:rPr>
        <w:t>Free movement of Capital</w:t>
      </w:r>
    </w:p>
    <w:p w14:paraId="1E73D62A" w14:textId="77777777" w:rsidR="0000377D" w:rsidRDefault="00930DB4" w:rsidP="00930DB4">
      <w:pPr>
        <w:pStyle w:val="ListParagraph"/>
        <w:numPr>
          <w:ilvl w:val="0"/>
          <w:numId w:val="1"/>
        </w:numPr>
        <w:jc w:val="both"/>
        <w:rPr>
          <w:rFonts w:ascii="Times New Roman" w:hAnsi="Times New Roman" w:cs="Times New Roman"/>
          <w:sz w:val="24"/>
          <w:szCs w:val="24"/>
        </w:rPr>
      </w:pPr>
      <w:r w:rsidRPr="0000377D">
        <w:rPr>
          <w:rFonts w:ascii="Times New Roman" w:hAnsi="Times New Roman" w:cs="Times New Roman"/>
          <w:sz w:val="24"/>
          <w:szCs w:val="24"/>
        </w:rPr>
        <w:t>Free movement of Persons</w:t>
      </w:r>
    </w:p>
    <w:p w14:paraId="44647562" w14:textId="77777777" w:rsidR="0000377D" w:rsidRDefault="00930DB4" w:rsidP="00930DB4">
      <w:pPr>
        <w:pStyle w:val="ListParagraph"/>
        <w:numPr>
          <w:ilvl w:val="0"/>
          <w:numId w:val="1"/>
        </w:numPr>
        <w:jc w:val="both"/>
        <w:rPr>
          <w:rFonts w:ascii="Times New Roman" w:hAnsi="Times New Roman" w:cs="Times New Roman"/>
          <w:sz w:val="24"/>
          <w:szCs w:val="24"/>
        </w:rPr>
      </w:pPr>
      <w:r w:rsidRPr="0000377D">
        <w:rPr>
          <w:rFonts w:ascii="Times New Roman" w:hAnsi="Times New Roman" w:cs="Times New Roman"/>
          <w:sz w:val="24"/>
          <w:szCs w:val="24"/>
        </w:rPr>
        <w:t>Free movement of Goods</w:t>
      </w:r>
    </w:p>
    <w:p w14:paraId="686C9332" w14:textId="182E3066" w:rsidR="00930DB4" w:rsidRPr="008572A6" w:rsidRDefault="00930DB4" w:rsidP="0041360E">
      <w:pPr>
        <w:pStyle w:val="ListParagraph"/>
        <w:numPr>
          <w:ilvl w:val="0"/>
          <w:numId w:val="1"/>
        </w:numPr>
        <w:jc w:val="both"/>
        <w:rPr>
          <w:rFonts w:ascii="Times New Roman" w:hAnsi="Times New Roman" w:cs="Times New Roman"/>
          <w:sz w:val="24"/>
          <w:szCs w:val="24"/>
        </w:rPr>
      </w:pPr>
      <w:r w:rsidRPr="0000377D">
        <w:rPr>
          <w:rFonts w:ascii="Times New Roman" w:hAnsi="Times New Roman" w:cs="Times New Roman"/>
          <w:sz w:val="24"/>
          <w:szCs w:val="24"/>
        </w:rPr>
        <w:t>Free movement of Services</w:t>
      </w:r>
    </w:p>
    <w:p w14:paraId="731C9597" w14:textId="603EA414" w:rsidR="00D86C7F" w:rsidRDefault="00D86C7F" w:rsidP="00534430">
      <w:pPr>
        <w:jc w:val="both"/>
        <w:rPr>
          <w:rFonts w:ascii="Times New Roman" w:hAnsi="Times New Roman" w:cs="Times New Roman"/>
          <w:sz w:val="24"/>
          <w:szCs w:val="24"/>
        </w:rPr>
      </w:pPr>
      <w:r>
        <w:rPr>
          <w:rFonts w:ascii="Times New Roman" w:hAnsi="Times New Roman" w:cs="Times New Roman"/>
          <w:sz w:val="24"/>
          <w:szCs w:val="24"/>
        </w:rPr>
        <w:t>The</w:t>
      </w:r>
      <w:r w:rsidR="00C43FE6">
        <w:rPr>
          <w:rFonts w:ascii="Times New Roman" w:hAnsi="Times New Roman" w:cs="Times New Roman"/>
          <w:sz w:val="24"/>
          <w:szCs w:val="24"/>
        </w:rPr>
        <w:t xml:space="preserve"> free movement of capital is the</w:t>
      </w:r>
      <w:r>
        <w:rPr>
          <w:rFonts w:ascii="Times New Roman" w:hAnsi="Times New Roman" w:cs="Times New Roman"/>
          <w:sz w:val="24"/>
          <w:szCs w:val="24"/>
        </w:rPr>
        <w:t xml:space="preserve"> most recent and broadest of all Treaty freedoms.</w:t>
      </w:r>
      <w:r>
        <w:rPr>
          <w:rStyle w:val="FootnoteReference"/>
          <w:rFonts w:ascii="Times New Roman" w:hAnsi="Times New Roman" w:cs="Times New Roman"/>
          <w:sz w:val="24"/>
          <w:szCs w:val="24"/>
        </w:rPr>
        <w:footnoteReference w:id="4"/>
      </w:r>
    </w:p>
    <w:p w14:paraId="3022A8B2" w14:textId="615B40C2" w:rsidR="00EC1E6B" w:rsidRDefault="00EC1E6B" w:rsidP="00534430">
      <w:pPr>
        <w:jc w:val="both"/>
        <w:rPr>
          <w:rFonts w:ascii="Times New Roman" w:hAnsi="Times New Roman" w:cs="Times New Roman"/>
          <w:sz w:val="24"/>
          <w:szCs w:val="24"/>
        </w:rPr>
      </w:pPr>
      <w:r>
        <w:rPr>
          <w:rFonts w:ascii="Times New Roman" w:hAnsi="Times New Roman" w:cs="Times New Roman"/>
          <w:sz w:val="24"/>
          <w:szCs w:val="24"/>
        </w:rPr>
        <w:t>“</w:t>
      </w:r>
      <w:r w:rsidRPr="00EC1E6B">
        <w:rPr>
          <w:rFonts w:ascii="Times New Roman" w:hAnsi="Times New Roman" w:cs="Times New Roman"/>
          <w:sz w:val="24"/>
          <w:szCs w:val="24"/>
        </w:rPr>
        <w:t>The free movement of capital is the only freedom constituting the single market which is also granted to third countries.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14:paraId="45A4DE88" w14:textId="4307BF55" w:rsidR="0030369E" w:rsidRDefault="00434E5B" w:rsidP="00534430">
      <w:pPr>
        <w:jc w:val="both"/>
        <w:rPr>
          <w:rFonts w:ascii="Times New Roman" w:hAnsi="Times New Roman" w:cs="Times New Roman"/>
          <w:sz w:val="24"/>
          <w:szCs w:val="24"/>
        </w:rPr>
      </w:pPr>
      <w:r>
        <w:rPr>
          <w:rFonts w:ascii="Times New Roman" w:hAnsi="Times New Roman" w:cs="Times New Roman"/>
          <w:sz w:val="24"/>
          <w:szCs w:val="24"/>
        </w:rPr>
        <w:t>As well as encompassing areas relating to</w:t>
      </w:r>
      <w:r w:rsidR="0030369E" w:rsidRPr="00930DB4">
        <w:rPr>
          <w:rFonts w:ascii="Times New Roman" w:hAnsi="Times New Roman" w:cs="Times New Roman"/>
          <w:sz w:val="24"/>
          <w:szCs w:val="24"/>
        </w:rPr>
        <w:t xml:space="preserve"> the free movement of persons, goods, services, </w:t>
      </w:r>
      <w:r>
        <w:rPr>
          <w:rFonts w:ascii="Times New Roman" w:hAnsi="Times New Roman" w:cs="Times New Roman"/>
          <w:sz w:val="24"/>
          <w:szCs w:val="24"/>
        </w:rPr>
        <w:t xml:space="preserve">and </w:t>
      </w:r>
      <w:r w:rsidR="0030369E" w:rsidRPr="00930DB4">
        <w:rPr>
          <w:rFonts w:ascii="Times New Roman" w:hAnsi="Times New Roman" w:cs="Times New Roman"/>
          <w:sz w:val="24"/>
          <w:szCs w:val="24"/>
        </w:rPr>
        <w:t>capital</w:t>
      </w:r>
      <w:r>
        <w:rPr>
          <w:rFonts w:ascii="Times New Roman" w:hAnsi="Times New Roman" w:cs="Times New Roman"/>
          <w:sz w:val="24"/>
          <w:szCs w:val="24"/>
        </w:rPr>
        <w:t>, t</w:t>
      </w:r>
      <w:r w:rsidRPr="00930DB4">
        <w:rPr>
          <w:rFonts w:ascii="Times New Roman" w:hAnsi="Times New Roman" w:cs="Times New Roman"/>
          <w:sz w:val="24"/>
          <w:szCs w:val="24"/>
        </w:rPr>
        <w:t xml:space="preserve">he EEA Agreement </w:t>
      </w:r>
      <w:r>
        <w:rPr>
          <w:rFonts w:ascii="Times New Roman" w:hAnsi="Times New Roman" w:cs="Times New Roman"/>
          <w:sz w:val="24"/>
          <w:szCs w:val="24"/>
        </w:rPr>
        <w:t xml:space="preserve">also </w:t>
      </w:r>
      <w:r>
        <w:rPr>
          <w:rFonts w:ascii="Times New Roman" w:hAnsi="Times New Roman" w:cs="Times New Roman"/>
          <w:sz w:val="24"/>
          <w:szCs w:val="24"/>
        </w:rPr>
        <w:t>embraces</w:t>
      </w:r>
      <w:r w:rsidR="0030369E" w:rsidRPr="00930DB4">
        <w:rPr>
          <w:rFonts w:ascii="Times New Roman" w:hAnsi="Times New Roman" w:cs="Times New Roman"/>
          <w:sz w:val="24"/>
          <w:szCs w:val="24"/>
        </w:rPr>
        <w:t xml:space="preserve"> the freedom of establishment</w:t>
      </w:r>
      <w:r w:rsidR="009C2419">
        <w:rPr>
          <w:rFonts w:ascii="Times New Roman" w:hAnsi="Times New Roman" w:cs="Times New Roman"/>
          <w:sz w:val="24"/>
          <w:szCs w:val="24"/>
        </w:rPr>
        <w:t>,</w:t>
      </w:r>
      <w:r w:rsidR="0030369E">
        <w:rPr>
          <w:rStyle w:val="FootnoteReference"/>
          <w:rFonts w:ascii="Times New Roman" w:hAnsi="Times New Roman" w:cs="Times New Roman"/>
          <w:sz w:val="24"/>
          <w:szCs w:val="24"/>
        </w:rPr>
        <w:footnoteReference w:id="6"/>
      </w:r>
      <w:r w:rsidR="009933FA">
        <w:rPr>
          <w:rFonts w:ascii="Times New Roman" w:hAnsi="Times New Roman" w:cs="Times New Roman"/>
          <w:sz w:val="24"/>
          <w:szCs w:val="24"/>
        </w:rPr>
        <w:t xml:space="preserve"> </w:t>
      </w:r>
      <w:r w:rsidR="009C2419">
        <w:rPr>
          <w:rFonts w:ascii="Times New Roman" w:hAnsi="Times New Roman" w:cs="Times New Roman"/>
          <w:sz w:val="24"/>
          <w:szCs w:val="24"/>
        </w:rPr>
        <w:t>h</w:t>
      </w:r>
      <w:r w:rsidR="009933FA">
        <w:rPr>
          <w:rFonts w:ascii="Times New Roman" w:hAnsi="Times New Roman" w:cs="Times New Roman"/>
          <w:sz w:val="24"/>
          <w:szCs w:val="24"/>
        </w:rPr>
        <w:t>owever, limits</w:t>
      </w:r>
      <w:r w:rsidR="009933FA">
        <w:rPr>
          <w:rStyle w:val="FootnoteReference"/>
          <w:rFonts w:ascii="Times New Roman" w:hAnsi="Times New Roman" w:cs="Times New Roman"/>
          <w:sz w:val="24"/>
          <w:szCs w:val="24"/>
        </w:rPr>
        <w:footnoteReference w:id="7"/>
      </w:r>
      <w:r w:rsidR="009933FA">
        <w:rPr>
          <w:rFonts w:ascii="Times New Roman" w:hAnsi="Times New Roman" w:cs="Times New Roman"/>
          <w:sz w:val="24"/>
          <w:szCs w:val="24"/>
        </w:rPr>
        <w:t xml:space="preserve"> inherent in the Agreement are highlighted by Berger and </w:t>
      </w:r>
      <w:proofErr w:type="spellStart"/>
      <w:r w:rsidR="009933FA">
        <w:rPr>
          <w:rFonts w:ascii="Times New Roman" w:hAnsi="Times New Roman" w:cs="Times New Roman"/>
          <w:sz w:val="24"/>
          <w:szCs w:val="24"/>
        </w:rPr>
        <w:t>Badenhoop</w:t>
      </w:r>
      <w:proofErr w:type="spellEnd"/>
      <w:r w:rsidR="009933FA">
        <w:rPr>
          <w:rFonts w:ascii="Times New Roman" w:hAnsi="Times New Roman" w:cs="Times New Roman"/>
          <w:sz w:val="24"/>
          <w:szCs w:val="24"/>
        </w:rPr>
        <w:t xml:space="preserve"> who propose alternate models </w:t>
      </w:r>
      <w:r w:rsidR="007C444C">
        <w:rPr>
          <w:rFonts w:ascii="Times New Roman" w:hAnsi="Times New Roman" w:cs="Times New Roman"/>
          <w:sz w:val="24"/>
          <w:szCs w:val="24"/>
        </w:rPr>
        <w:t xml:space="preserve">as a means of averting a situation which could result in the event that a “no deal” </w:t>
      </w:r>
      <w:r w:rsidR="009933FA">
        <w:rPr>
          <w:rFonts w:ascii="Times New Roman" w:hAnsi="Times New Roman" w:cs="Times New Roman"/>
          <w:sz w:val="24"/>
          <w:szCs w:val="24"/>
        </w:rPr>
        <w:t>Brexit occurs.</w:t>
      </w:r>
    </w:p>
    <w:p w14:paraId="04D0499E" w14:textId="77777777" w:rsidR="0030369E" w:rsidRDefault="0030369E" w:rsidP="0041360E">
      <w:pPr>
        <w:jc w:val="both"/>
        <w:rPr>
          <w:rFonts w:ascii="Times New Roman" w:hAnsi="Times New Roman" w:cs="Times New Roman"/>
          <w:sz w:val="24"/>
          <w:szCs w:val="24"/>
        </w:rPr>
      </w:pPr>
    </w:p>
    <w:p w14:paraId="4A72C99C" w14:textId="5EB034DB" w:rsidR="00893368" w:rsidRDefault="00893368" w:rsidP="0041360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w:t>
      </w:r>
      <w:r w:rsidR="00854C01">
        <w:rPr>
          <w:rFonts w:ascii="Times New Roman" w:hAnsi="Times New Roman" w:cs="Times New Roman"/>
          <w:sz w:val="24"/>
          <w:szCs w:val="24"/>
        </w:rPr>
        <w:t>strategic</w:t>
      </w:r>
      <w:r>
        <w:rPr>
          <w:rFonts w:ascii="Times New Roman" w:hAnsi="Times New Roman" w:cs="Times New Roman"/>
          <w:sz w:val="24"/>
          <w:szCs w:val="24"/>
        </w:rPr>
        <w:t xml:space="preserve"> importance of economic considerations, </w:t>
      </w:r>
      <w:r w:rsidR="00854C01">
        <w:rPr>
          <w:rFonts w:ascii="Times New Roman" w:hAnsi="Times New Roman" w:cs="Times New Roman"/>
          <w:sz w:val="24"/>
          <w:szCs w:val="24"/>
        </w:rPr>
        <w:t>as underlying bases on</w:t>
      </w:r>
      <w:r>
        <w:rPr>
          <w:rFonts w:ascii="Times New Roman" w:hAnsi="Times New Roman" w:cs="Times New Roman"/>
          <w:sz w:val="24"/>
          <w:szCs w:val="24"/>
        </w:rPr>
        <w:t xml:space="preserve"> which the fundamental freedoms are enshrined, it is evident that the economy </w:t>
      </w:r>
      <w:r w:rsidR="001E7D2D">
        <w:rPr>
          <w:rFonts w:ascii="Times New Roman" w:hAnsi="Times New Roman" w:cs="Times New Roman"/>
          <w:sz w:val="24"/>
          <w:szCs w:val="24"/>
        </w:rPr>
        <w:t xml:space="preserve">should </w:t>
      </w:r>
      <w:r>
        <w:rPr>
          <w:rFonts w:ascii="Times New Roman" w:hAnsi="Times New Roman" w:cs="Times New Roman"/>
          <w:sz w:val="24"/>
          <w:szCs w:val="24"/>
        </w:rPr>
        <w:t xml:space="preserve">also constitute a significant factor which frequently determines and impacts the decisions taken by citizens of individual member states in exercising their democratic rights to vote. </w:t>
      </w:r>
    </w:p>
    <w:p w14:paraId="55478083" w14:textId="6E4A77F4" w:rsidR="00893368" w:rsidRDefault="00893368" w:rsidP="0041360E">
      <w:pPr>
        <w:jc w:val="both"/>
        <w:rPr>
          <w:rFonts w:ascii="Times New Roman" w:hAnsi="Times New Roman" w:cs="Times New Roman"/>
          <w:sz w:val="24"/>
          <w:szCs w:val="24"/>
        </w:rPr>
      </w:pPr>
      <w:r>
        <w:rPr>
          <w:rFonts w:ascii="Times New Roman" w:hAnsi="Times New Roman" w:cs="Times New Roman"/>
          <w:sz w:val="24"/>
          <w:szCs w:val="24"/>
        </w:rPr>
        <w:t>However, how well informed are those citizens in respect of the</w:t>
      </w:r>
      <w:r w:rsidR="0030369E">
        <w:rPr>
          <w:rFonts w:ascii="Times New Roman" w:hAnsi="Times New Roman" w:cs="Times New Roman"/>
          <w:sz w:val="24"/>
          <w:szCs w:val="24"/>
        </w:rPr>
        <w:t xml:space="preserve"> legislative history and legislation which govern their</w:t>
      </w:r>
      <w:r>
        <w:rPr>
          <w:rFonts w:ascii="Times New Roman" w:hAnsi="Times New Roman" w:cs="Times New Roman"/>
          <w:sz w:val="24"/>
          <w:szCs w:val="24"/>
        </w:rPr>
        <w:t xml:space="preserve"> economic environment</w:t>
      </w:r>
      <w:r w:rsidR="0030369E">
        <w:rPr>
          <w:rFonts w:ascii="Times New Roman" w:hAnsi="Times New Roman" w:cs="Times New Roman"/>
          <w:sz w:val="24"/>
          <w:szCs w:val="24"/>
        </w:rPr>
        <w:t>s</w:t>
      </w:r>
      <w:r>
        <w:rPr>
          <w:rFonts w:ascii="Times New Roman" w:hAnsi="Times New Roman" w:cs="Times New Roman"/>
          <w:sz w:val="24"/>
          <w:szCs w:val="24"/>
        </w:rPr>
        <w:t xml:space="preserve"> – as well as legislative processes which are to impact consequences of their </w:t>
      </w:r>
      <w:r w:rsidR="0030369E">
        <w:rPr>
          <w:rFonts w:ascii="Times New Roman" w:hAnsi="Times New Roman" w:cs="Times New Roman"/>
          <w:sz w:val="24"/>
          <w:szCs w:val="24"/>
        </w:rPr>
        <w:t xml:space="preserve">exercised </w:t>
      </w:r>
      <w:r>
        <w:rPr>
          <w:rFonts w:ascii="Times New Roman" w:hAnsi="Times New Roman" w:cs="Times New Roman"/>
          <w:sz w:val="24"/>
          <w:szCs w:val="24"/>
        </w:rPr>
        <w:t>r</w:t>
      </w:r>
      <w:r w:rsidR="0030369E">
        <w:rPr>
          <w:rFonts w:ascii="Times New Roman" w:hAnsi="Times New Roman" w:cs="Times New Roman"/>
          <w:sz w:val="24"/>
          <w:szCs w:val="24"/>
        </w:rPr>
        <w:t>ights?</w:t>
      </w:r>
    </w:p>
    <w:p w14:paraId="01AC2E22" w14:textId="7FEE0369" w:rsidR="00EC1E6B" w:rsidRDefault="00EC1E6B" w:rsidP="0041360E">
      <w:pPr>
        <w:jc w:val="both"/>
        <w:rPr>
          <w:rFonts w:ascii="Times New Roman" w:hAnsi="Times New Roman" w:cs="Times New Roman"/>
          <w:sz w:val="24"/>
          <w:szCs w:val="24"/>
        </w:rPr>
      </w:pPr>
    </w:p>
    <w:p w14:paraId="6905CD93" w14:textId="1C5CBEE7" w:rsidR="00A904D1" w:rsidRDefault="00A904D1" w:rsidP="0041360E">
      <w:pPr>
        <w:jc w:val="both"/>
        <w:rPr>
          <w:rFonts w:ascii="Times New Roman" w:hAnsi="Times New Roman" w:cs="Times New Roman"/>
          <w:sz w:val="24"/>
          <w:szCs w:val="24"/>
        </w:rPr>
      </w:pPr>
      <w:r>
        <w:rPr>
          <w:rFonts w:ascii="Times New Roman" w:hAnsi="Times New Roman" w:cs="Times New Roman"/>
          <w:sz w:val="24"/>
          <w:szCs w:val="24"/>
        </w:rPr>
        <w:t xml:space="preserve">The results of the 2016 Referendum, which have culminated in current ongoing Brexit negotiations have not only revealed how very uninformed people were as regards matters of their rights under EU law, but also the level of discrepancies between what was actually expected from the results </w:t>
      </w:r>
      <w:r w:rsidR="00E42D01">
        <w:rPr>
          <w:rFonts w:ascii="Times New Roman" w:hAnsi="Times New Roman" w:cs="Times New Roman"/>
          <w:sz w:val="24"/>
          <w:szCs w:val="24"/>
        </w:rPr>
        <w:t>and</w:t>
      </w:r>
      <w:r>
        <w:rPr>
          <w:rFonts w:ascii="Times New Roman" w:hAnsi="Times New Roman" w:cs="Times New Roman"/>
          <w:sz w:val="24"/>
          <w:szCs w:val="24"/>
        </w:rPr>
        <w:t xml:space="preserve"> the outcome of the Referendum </w:t>
      </w:r>
      <w:r w:rsidR="00E42D01">
        <w:rPr>
          <w:rFonts w:ascii="Times New Roman" w:hAnsi="Times New Roman" w:cs="Times New Roman"/>
          <w:sz w:val="24"/>
          <w:szCs w:val="24"/>
        </w:rPr>
        <w:t>AND</w:t>
      </w:r>
      <w:r>
        <w:rPr>
          <w:rFonts w:ascii="Times New Roman" w:hAnsi="Times New Roman" w:cs="Times New Roman"/>
          <w:sz w:val="24"/>
          <w:szCs w:val="24"/>
        </w:rPr>
        <w:t xml:space="preserve"> the actual process which followed thereafter.</w:t>
      </w:r>
    </w:p>
    <w:p w14:paraId="48E1F3EB" w14:textId="2D146170" w:rsidR="00D86C7F" w:rsidRDefault="00D86C7F" w:rsidP="0041360E">
      <w:pPr>
        <w:jc w:val="both"/>
        <w:rPr>
          <w:rFonts w:ascii="Times New Roman" w:hAnsi="Times New Roman" w:cs="Times New Roman"/>
          <w:sz w:val="24"/>
          <w:szCs w:val="24"/>
        </w:rPr>
      </w:pPr>
    </w:p>
    <w:p w14:paraId="01EABE0A" w14:textId="1CFA967A" w:rsidR="00E42D01" w:rsidRDefault="00E42D01" w:rsidP="0041360E">
      <w:pPr>
        <w:jc w:val="both"/>
        <w:rPr>
          <w:rFonts w:ascii="Times New Roman" w:hAnsi="Times New Roman" w:cs="Times New Roman"/>
          <w:sz w:val="24"/>
          <w:szCs w:val="24"/>
        </w:rPr>
      </w:pPr>
      <w:r>
        <w:rPr>
          <w:rFonts w:ascii="Times New Roman" w:hAnsi="Times New Roman" w:cs="Times New Roman"/>
          <w:sz w:val="24"/>
          <w:szCs w:val="24"/>
        </w:rPr>
        <w:t>A clear</w:t>
      </w:r>
      <w:r w:rsidR="00282703">
        <w:rPr>
          <w:rFonts w:ascii="Times New Roman" w:hAnsi="Times New Roman" w:cs="Times New Roman"/>
          <w:sz w:val="24"/>
          <w:szCs w:val="24"/>
        </w:rPr>
        <w:t>er</w:t>
      </w:r>
      <w:r>
        <w:rPr>
          <w:rFonts w:ascii="Times New Roman" w:hAnsi="Times New Roman" w:cs="Times New Roman"/>
          <w:sz w:val="24"/>
          <w:szCs w:val="24"/>
        </w:rPr>
        <w:t xml:space="preserve"> consequence of the reality of Brexit has not only facilitated greater engagements of citizens (UK and EU citizens living in the UK, particularly) in matters relating to their rights and possible consequences of legislation to be introduced in the aftermath of Brexit</w:t>
      </w:r>
      <w:r w:rsidR="00F601C6">
        <w:rPr>
          <w:rFonts w:ascii="Times New Roman" w:hAnsi="Times New Roman" w:cs="Times New Roman"/>
          <w:sz w:val="24"/>
          <w:szCs w:val="24"/>
        </w:rPr>
        <w:t>, but also triggered recommendations in respect of possible benefits or costs to be generated (as well as incurred) in the event of a “deal” or “no deal” scenario.</w:t>
      </w:r>
    </w:p>
    <w:p w14:paraId="4A5F424E" w14:textId="437F7E08" w:rsidR="00E42D01" w:rsidRDefault="00E42D01" w:rsidP="0041360E">
      <w:pPr>
        <w:jc w:val="both"/>
        <w:rPr>
          <w:rFonts w:ascii="Times New Roman" w:hAnsi="Times New Roman" w:cs="Times New Roman"/>
          <w:sz w:val="24"/>
          <w:szCs w:val="24"/>
        </w:rPr>
      </w:pPr>
    </w:p>
    <w:p w14:paraId="798A834B" w14:textId="78C81F4F" w:rsidR="00356311" w:rsidRPr="00244CCE" w:rsidRDefault="00E42D01" w:rsidP="0041360E">
      <w:pPr>
        <w:jc w:val="both"/>
        <w:rPr>
          <w:rFonts w:ascii="Times New Roman" w:hAnsi="Times New Roman" w:cs="Times New Roman"/>
          <w:color w:val="000000" w:themeColor="text1"/>
          <w:sz w:val="24"/>
          <w:szCs w:val="24"/>
        </w:rPr>
      </w:pPr>
      <w:r w:rsidRPr="005C02A6">
        <w:rPr>
          <w:rFonts w:ascii="Times New Roman" w:hAnsi="Times New Roman" w:cs="Times New Roman"/>
          <w:color w:val="000000" w:themeColor="text1"/>
          <w:sz w:val="24"/>
          <w:szCs w:val="24"/>
        </w:rPr>
        <w:t>To what extent are the interests of such citizens adequately represented in the legislative process</w:t>
      </w:r>
      <w:r w:rsidR="00244CCE">
        <w:rPr>
          <w:rFonts w:ascii="Times New Roman" w:hAnsi="Times New Roman" w:cs="Times New Roman"/>
          <w:color w:val="000000" w:themeColor="text1"/>
          <w:sz w:val="24"/>
          <w:szCs w:val="24"/>
        </w:rPr>
        <w:t>es at supra national level</w:t>
      </w:r>
      <w:r w:rsidRPr="005C02A6">
        <w:rPr>
          <w:rFonts w:ascii="Times New Roman" w:hAnsi="Times New Roman" w:cs="Times New Roman"/>
          <w:color w:val="000000" w:themeColor="text1"/>
          <w:sz w:val="24"/>
          <w:szCs w:val="24"/>
        </w:rPr>
        <w:t xml:space="preserve">? More importantly, will the interests of such citizens be adequately accounted for in the advent that fundamental legislation is </w:t>
      </w:r>
      <w:proofErr w:type="gramStart"/>
      <w:r w:rsidRPr="005C02A6">
        <w:rPr>
          <w:rFonts w:ascii="Times New Roman" w:hAnsi="Times New Roman" w:cs="Times New Roman"/>
          <w:color w:val="000000" w:themeColor="text1"/>
          <w:sz w:val="24"/>
          <w:szCs w:val="24"/>
        </w:rPr>
        <w:t>overhauled</w:t>
      </w:r>
      <w:proofErr w:type="gramEnd"/>
      <w:r w:rsidRPr="005C02A6">
        <w:rPr>
          <w:rFonts w:ascii="Times New Roman" w:hAnsi="Times New Roman" w:cs="Times New Roman"/>
          <w:color w:val="000000" w:themeColor="text1"/>
          <w:sz w:val="24"/>
          <w:szCs w:val="24"/>
        </w:rPr>
        <w:t xml:space="preserve"> and the growing influence of powerful lobbyists </w:t>
      </w:r>
      <w:r w:rsidR="00244CCE">
        <w:rPr>
          <w:rFonts w:ascii="Times New Roman" w:hAnsi="Times New Roman" w:cs="Times New Roman"/>
          <w:color w:val="000000" w:themeColor="text1"/>
          <w:sz w:val="24"/>
          <w:szCs w:val="24"/>
        </w:rPr>
        <w:t xml:space="preserve">impacts considerably </w:t>
      </w:r>
      <w:r w:rsidRPr="005C02A6">
        <w:rPr>
          <w:rFonts w:ascii="Times New Roman" w:hAnsi="Times New Roman" w:cs="Times New Roman"/>
          <w:color w:val="000000" w:themeColor="text1"/>
          <w:sz w:val="24"/>
          <w:szCs w:val="24"/>
        </w:rPr>
        <w:t>on supranational legislation?</w:t>
      </w:r>
    </w:p>
    <w:p w14:paraId="5D762BA2" w14:textId="77777777" w:rsidR="00356311" w:rsidRPr="00BD1B57" w:rsidRDefault="00356311" w:rsidP="0041360E">
      <w:pPr>
        <w:jc w:val="both"/>
        <w:rPr>
          <w:rFonts w:ascii="Times New Roman" w:hAnsi="Times New Roman" w:cs="Times New Roman"/>
          <w:b/>
          <w:color w:val="000000" w:themeColor="text1"/>
          <w:sz w:val="24"/>
          <w:szCs w:val="24"/>
        </w:rPr>
      </w:pPr>
    </w:p>
    <w:p w14:paraId="3B724B63" w14:textId="061F5968" w:rsidR="00E42D01" w:rsidRPr="00BD1B57" w:rsidRDefault="00E42D01" w:rsidP="0041360E">
      <w:pPr>
        <w:jc w:val="both"/>
        <w:rPr>
          <w:rFonts w:ascii="Times New Roman" w:hAnsi="Times New Roman" w:cs="Times New Roman"/>
          <w:b/>
          <w:color w:val="000000" w:themeColor="text1"/>
          <w:sz w:val="24"/>
          <w:szCs w:val="24"/>
        </w:rPr>
      </w:pPr>
      <w:r w:rsidRPr="00BD1B57">
        <w:rPr>
          <w:rFonts w:ascii="Times New Roman" w:hAnsi="Times New Roman" w:cs="Times New Roman"/>
          <w:b/>
          <w:color w:val="000000" w:themeColor="text1"/>
          <w:sz w:val="24"/>
          <w:szCs w:val="24"/>
        </w:rPr>
        <w:t>Literature Review and Background to the Study</w:t>
      </w:r>
    </w:p>
    <w:p w14:paraId="54BD75C2" w14:textId="737BBE47" w:rsidR="00EC1E6B" w:rsidRPr="005C02A6" w:rsidRDefault="00EC1E6B" w:rsidP="0041360E">
      <w:pPr>
        <w:jc w:val="both"/>
        <w:rPr>
          <w:rFonts w:ascii="Times New Roman" w:hAnsi="Times New Roman" w:cs="Times New Roman"/>
          <w:color w:val="000000" w:themeColor="text1"/>
          <w:sz w:val="24"/>
          <w:szCs w:val="24"/>
        </w:rPr>
      </w:pPr>
    </w:p>
    <w:p w14:paraId="3EC2A061" w14:textId="77777777" w:rsidR="005C02A6" w:rsidRPr="005C02A6" w:rsidRDefault="005C02A6" w:rsidP="005C02A6">
      <w:pPr>
        <w:spacing w:line="240" w:lineRule="auto"/>
        <w:jc w:val="both"/>
        <w:outlineLvl w:val="0"/>
        <w:rPr>
          <w:rFonts w:ascii="Times New Roman" w:eastAsia="Times New Roman" w:hAnsi="Times New Roman" w:cs="Times New Roman"/>
          <w:color w:val="000000" w:themeColor="text1"/>
          <w:spacing w:val="2"/>
          <w:kern w:val="36"/>
          <w:sz w:val="24"/>
          <w:szCs w:val="24"/>
          <w:lang w:val="en"/>
        </w:rPr>
      </w:pPr>
      <w:r w:rsidRPr="005C02A6">
        <w:rPr>
          <w:rFonts w:ascii="Times New Roman" w:eastAsia="Times New Roman" w:hAnsi="Times New Roman" w:cs="Times New Roman"/>
          <w:color w:val="000000" w:themeColor="text1"/>
          <w:spacing w:val="2"/>
          <w:kern w:val="36"/>
          <w:sz w:val="24"/>
          <w:szCs w:val="24"/>
          <w:lang w:val="en"/>
        </w:rPr>
        <w:t>According to Dialer and Richter,</w:t>
      </w:r>
      <w:r w:rsidRPr="005C02A6">
        <w:rPr>
          <w:rStyle w:val="FootnoteReference"/>
          <w:rFonts w:ascii="Times New Roman" w:eastAsia="Times New Roman" w:hAnsi="Times New Roman" w:cs="Times New Roman"/>
          <w:color w:val="000000" w:themeColor="text1"/>
          <w:spacing w:val="2"/>
          <w:kern w:val="36"/>
          <w:sz w:val="24"/>
          <w:szCs w:val="24"/>
          <w:lang w:val="en"/>
        </w:rPr>
        <w:footnoteReference w:id="8"/>
      </w:r>
      <w:r w:rsidRPr="005C02A6">
        <w:rPr>
          <w:rFonts w:ascii="Times New Roman" w:eastAsia="Times New Roman" w:hAnsi="Times New Roman" w:cs="Times New Roman"/>
          <w:color w:val="000000" w:themeColor="text1"/>
          <w:spacing w:val="2"/>
          <w:kern w:val="36"/>
          <w:sz w:val="24"/>
          <w:szCs w:val="24"/>
          <w:lang w:val="en"/>
        </w:rPr>
        <w:t xml:space="preserve">  “</w:t>
      </w:r>
      <w:r w:rsidRPr="005C02A6">
        <w:rPr>
          <w:rFonts w:ascii="Times New Roman" w:eastAsia="Times New Roman" w:hAnsi="Times New Roman" w:cs="Times New Roman"/>
          <w:color w:val="000000" w:themeColor="text1"/>
          <w:spacing w:val="1"/>
          <w:sz w:val="24"/>
          <w:szCs w:val="24"/>
        </w:rPr>
        <w:t>lobbying plays an important role in a healthy democratic system in terms of policy-making and is a legitimate and essential part of the law-making process. Lobbying is not inherently undemocratic; it is rather a rational response to the problems arising from any knowledge deficit faced by understaffed EU policy-makers, pressed for time and who generally lack the type of policy expertise required for complex legislative decisions”.</w:t>
      </w:r>
      <w:r w:rsidRPr="005C02A6">
        <w:rPr>
          <w:rStyle w:val="FootnoteReference"/>
          <w:rFonts w:ascii="Times New Roman" w:eastAsia="Times New Roman" w:hAnsi="Times New Roman" w:cs="Times New Roman"/>
          <w:color w:val="000000" w:themeColor="text1"/>
          <w:spacing w:val="1"/>
          <w:sz w:val="24"/>
          <w:szCs w:val="24"/>
        </w:rPr>
        <w:footnoteReference w:id="9"/>
      </w:r>
      <w:r w:rsidRPr="005C02A6">
        <w:rPr>
          <w:rFonts w:ascii="Times New Roman" w:eastAsia="Times New Roman" w:hAnsi="Times New Roman" w:cs="Times New Roman"/>
          <w:color w:val="000000" w:themeColor="text1"/>
          <w:spacing w:val="1"/>
          <w:sz w:val="24"/>
          <w:szCs w:val="24"/>
        </w:rPr>
        <w:t xml:space="preserve"> </w:t>
      </w:r>
      <w:r w:rsidRPr="005C02A6">
        <w:rPr>
          <w:rFonts w:ascii="Times New Roman" w:eastAsia="Times New Roman" w:hAnsi="Times New Roman" w:cs="Times New Roman"/>
          <w:color w:val="000000" w:themeColor="text1"/>
          <w:spacing w:val="1"/>
          <w:sz w:val="24"/>
          <w:szCs w:val="24"/>
        </w:rPr>
        <w:lastRenderedPageBreak/>
        <w:t>Furthermore they add that, “ by contrast, interest groups tend to be experts in their specific sectors or fields of activity and possess the type of in-depth policy information required by EU staff.”</w:t>
      </w:r>
    </w:p>
    <w:p w14:paraId="620CAD4D" w14:textId="66E4A19D" w:rsidR="00EC1E6B" w:rsidRDefault="00EC1E6B" w:rsidP="0041360E">
      <w:pPr>
        <w:jc w:val="both"/>
        <w:rPr>
          <w:rFonts w:ascii="Times New Roman" w:hAnsi="Times New Roman" w:cs="Times New Roman"/>
          <w:sz w:val="24"/>
          <w:szCs w:val="24"/>
        </w:rPr>
      </w:pPr>
    </w:p>
    <w:p w14:paraId="6C18FF71" w14:textId="3B49CE40" w:rsidR="00592353" w:rsidRDefault="00592353" w:rsidP="0041360E">
      <w:pPr>
        <w:jc w:val="both"/>
        <w:rPr>
          <w:rFonts w:ascii="Times New Roman" w:hAnsi="Times New Roman" w:cs="Times New Roman"/>
          <w:sz w:val="24"/>
          <w:szCs w:val="24"/>
        </w:rPr>
      </w:pPr>
      <w:r>
        <w:rPr>
          <w:rFonts w:ascii="Times New Roman" w:hAnsi="Times New Roman" w:cs="Times New Roman"/>
          <w:sz w:val="24"/>
          <w:szCs w:val="24"/>
        </w:rPr>
        <w:t xml:space="preserve">The role of </w:t>
      </w:r>
      <w:proofErr w:type="spellStart"/>
      <w:r>
        <w:rPr>
          <w:rFonts w:ascii="Times New Roman" w:hAnsi="Times New Roman" w:cs="Times New Roman"/>
          <w:sz w:val="24"/>
          <w:szCs w:val="24"/>
        </w:rPr>
        <w:t>non governmental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a</w:t>
      </w:r>
      <w:r w:rsidR="00CB6800">
        <w:rPr>
          <w:rFonts w:ascii="Times New Roman" w:hAnsi="Times New Roman" w:cs="Times New Roman"/>
          <w:sz w:val="24"/>
          <w:szCs w:val="24"/>
        </w:rPr>
        <w:t>s</w:t>
      </w:r>
      <w:r>
        <w:rPr>
          <w:rFonts w:ascii="Times New Roman" w:hAnsi="Times New Roman" w:cs="Times New Roman"/>
          <w:sz w:val="24"/>
          <w:szCs w:val="24"/>
        </w:rPr>
        <w:t xml:space="preserve"> representatives of interests which primarily relate to important matters of trade, climate and sustainable development policies is also considered to be dominated and vulnerable to powerful</w:t>
      </w:r>
      <w:r w:rsidR="00CB6800">
        <w:rPr>
          <w:rFonts w:ascii="Times New Roman" w:hAnsi="Times New Roman" w:cs="Times New Roman"/>
          <w:sz w:val="24"/>
          <w:szCs w:val="24"/>
        </w:rPr>
        <w:t xml:space="preserve"> influences of</w:t>
      </w:r>
      <w:r>
        <w:rPr>
          <w:rFonts w:ascii="Times New Roman" w:hAnsi="Times New Roman" w:cs="Times New Roman"/>
          <w:sz w:val="24"/>
          <w:szCs w:val="24"/>
        </w:rPr>
        <w:t xml:space="preserve"> </w:t>
      </w:r>
      <w:proofErr w:type="spellStart"/>
      <w:r>
        <w:rPr>
          <w:rFonts w:ascii="Times New Roman" w:hAnsi="Times New Roman" w:cs="Times New Roman"/>
          <w:sz w:val="24"/>
          <w:szCs w:val="24"/>
        </w:rPr>
        <w:t>multi</w:t>
      </w:r>
      <w:r w:rsidR="008A5096">
        <w:rPr>
          <w:rFonts w:ascii="Times New Roman" w:hAnsi="Times New Roman" w:cs="Times New Roman"/>
          <w:sz w:val="24"/>
          <w:szCs w:val="24"/>
        </w:rPr>
        <w:t xml:space="preserve"> national</w:t>
      </w:r>
      <w:proofErr w:type="spellEnd"/>
      <w:r>
        <w:rPr>
          <w:rFonts w:ascii="Times New Roman" w:hAnsi="Times New Roman" w:cs="Times New Roman"/>
          <w:sz w:val="24"/>
          <w:szCs w:val="24"/>
        </w:rPr>
        <w:t xml:space="preserve"> corporations and lobbyists which are estimated to spend </w:t>
      </w:r>
      <w:r w:rsidR="008A5096">
        <w:rPr>
          <w:rFonts w:ascii="Times New Roman" w:hAnsi="Times New Roman" w:cs="Times New Roman"/>
          <w:sz w:val="24"/>
          <w:szCs w:val="24"/>
        </w:rPr>
        <w:t>m</w:t>
      </w:r>
      <w:r>
        <w:rPr>
          <w:rFonts w:ascii="Times New Roman" w:hAnsi="Times New Roman" w:cs="Times New Roman"/>
          <w:sz w:val="24"/>
          <w:szCs w:val="24"/>
        </w:rPr>
        <w:t>illions on</w:t>
      </w:r>
      <w:r w:rsidR="00192933">
        <w:rPr>
          <w:rFonts w:ascii="Times New Roman" w:hAnsi="Times New Roman" w:cs="Times New Roman"/>
          <w:sz w:val="24"/>
          <w:szCs w:val="24"/>
        </w:rPr>
        <w:t xml:space="preserve"> processes aimed at influencing</w:t>
      </w:r>
      <w:r>
        <w:rPr>
          <w:rFonts w:ascii="Times New Roman" w:hAnsi="Times New Roman" w:cs="Times New Roman"/>
          <w:sz w:val="24"/>
          <w:szCs w:val="24"/>
        </w:rPr>
        <w:t xml:space="preserve"> such </w:t>
      </w:r>
      <w:r w:rsidR="00192933">
        <w:rPr>
          <w:rFonts w:ascii="Times New Roman" w:hAnsi="Times New Roman" w:cs="Times New Roman"/>
          <w:sz w:val="24"/>
          <w:szCs w:val="24"/>
        </w:rPr>
        <w:t xml:space="preserve">supranational </w:t>
      </w:r>
      <w:r>
        <w:rPr>
          <w:rFonts w:ascii="Times New Roman" w:hAnsi="Times New Roman" w:cs="Times New Roman"/>
          <w:sz w:val="24"/>
          <w:szCs w:val="24"/>
        </w:rPr>
        <w:t>legislative decision making processes.</w:t>
      </w:r>
      <w:r>
        <w:rPr>
          <w:rStyle w:val="FootnoteReference"/>
          <w:rFonts w:ascii="Times New Roman" w:hAnsi="Times New Roman" w:cs="Times New Roman"/>
          <w:sz w:val="24"/>
          <w:szCs w:val="24"/>
        </w:rPr>
        <w:footnoteReference w:id="10"/>
      </w:r>
    </w:p>
    <w:p w14:paraId="768270EA" w14:textId="21F68DED" w:rsidR="00592353" w:rsidRDefault="00F94DD7" w:rsidP="0041360E">
      <w:pPr>
        <w:jc w:val="both"/>
        <w:rPr>
          <w:rFonts w:ascii="Times New Roman" w:hAnsi="Times New Roman" w:cs="Times New Roman"/>
          <w:sz w:val="24"/>
          <w:szCs w:val="24"/>
        </w:rPr>
      </w:pPr>
      <w:r>
        <w:rPr>
          <w:rFonts w:ascii="Times New Roman" w:hAnsi="Times New Roman" w:cs="Times New Roman"/>
          <w:sz w:val="24"/>
          <w:szCs w:val="24"/>
        </w:rPr>
        <w:t>It is however, still a controversial</w:t>
      </w:r>
      <w:r w:rsidR="00051D3F">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topic as regards the effectiveness and impact of multinationals - their financing habits, allocations and accountability in respect of delegated funds, on the ability to influence legislative processes as revealed by recent </w:t>
      </w:r>
      <w:r w:rsidR="00355C3A">
        <w:rPr>
          <w:rFonts w:ascii="Times New Roman" w:hAnsi="Times New Roman" w:cs="Times New Roman"/>
          <w:sz w:val="24"/>
          <w:szCs w:val="24"/>
        </w:rPr>
        <w:t>(</w:t>
      </w:r>
      <w:r>
        <w:rPr>
          <w:rFonts w:ascii="Times New Roman" w:hAnsi="Times New Roman" w:cs="Times New Roman"/>
          <w:sz w:val="24"/>
          <w:szCs w:val="24"/>
        </w:rPr>
        <w:t>GDP</w:t>
      </w:r>
      <w:r w:rsidR="00355C3A">
        <w:rPr>
          <w:rFonts w:ascii="Times New Roman" w:hAnsi="Times New Roman" w:cs="Times New Roman"/>
          <w:sz w:val="24"/>
          <w:szCs w:val="24"/>
        </w:rPr>
        <w:t>R)</w:t>
      </w:r>
      <w:r>
        <w:rPr>
          <w:rFonts w:ascii="Times New Roman" w:hAnsi="Times New Roman" w:cs="Times New Roman"/>
          <w:sz w:val="24"/>
          <w:szCs w:val="24"/>
        </w:rPr>
        <w:t xml:space="preserve"> regulations that have been introduced following such prominent cases </w:t>
      </w:r>
      <w:r w:rsidR="00B361B1">
        <w:rPr>
          <w:rFonts w:ascii="Times New Roman" w:hAnsi="Times New Roman" w:cs="Times New Roman"/>
          <w:sz w:val="24"/>
          <w:szCs w:val="24"/>
        </w:rPr>
        <w:t xml:space="preserve">– and notably that </w:t>
      </w:r>
      <w:r>
        <w:rPr>
          <w:rFonts w:ascii="Times New Roman" w:hAnsi="Times New Roman" w:cs="Times New Roman"/>
          <w:sz w:val="24"/>
          <w:szCs w:val="24"/>
        </w:rPr>
        <w:t>involving Cambridge Analytica.</w:t>
      </w:r>
    </w:p>
    <w:p w14:paraId="0E854D8F" w14:textId="77777777" w:rsidR="005B5600" w:rsidRDefault="005B5600" w:rsidP="0041360E">
      <w:pPr>
        <w:jc w:val="both"/>
        <w:rPr>
          <w:rFonts w:ascii="Times New Roman" w:hAnsi="Times New Roman" w:cs="Times New Roman"/>
          <w:sz w:val="24"/>
          <w:szCs w:val="24"/>
        </w:rPr>
      </w:pPr>
    </w:p>
    <w:p w14:paraId="03EC4BD1" w14:textId="2EC0AB61" w:rsidR="00592353" w:rsidRDefault="005B5600" w:rsidP="0041360E">
      <w:pPr>
        <w:jc w:val="both"/>
        <w:rPr>
          <w:rFonts w:ascii="Times New Roman" w:hAnsi="Times New Roman" w:cs="Times New Roman"/>
          <w:sz w:val="24"/>
          <w:szCs w:val="24"/>
        </w:rPr>
      </w:pPr>
      <w:r>
        <w:rPr>
          <w:rFonts w:ascii="Times New Roman" w:hAnsi="Times New Roman" w:cs="Times New Roman"/>
          <w:sz w:val="24"/>
          <w:szCs w:val="24"/>
        </w:rPr>
        <w:t xml:space="preserve">E Commerce </w:t>
      </w:r>
      <w:r w:rsidR="00822FB7">
        <w:rPr>
          <w:rFonts w:ascii="Times New Roman" w:hAnsi="Times New Roman" w:cs="Times New Roman"/>
          <w:sz w:val="24"/>
          <w:szCs w:val="24"/>
        </w:rPr>
        <w:t>and Data Analytics</w:t>
      </w:r>
      <w:r>
        <w:rPr>
          <w:rFonts w:ascii="Times New Roman" w:hAnsi="Times New Roman" w:cs="Times New Roman"/>
          <w:sz w:val="24"/>
          <w:szCs w:val="24"/>
        </w:rPr>
        <w:t xml:space="preserve"> a</w:t>
      </w:r>
      <w:r w:rsidR="00822FB7">
        <w:rPr>
          <w:rFonts w:ascii="Times New Roman" w:hAnsi="Times New Roman" w:cs="Times New Roman"/>
          <w:sz w:val="24"/>
          <w:szCs w:val="24"/>
        </w:rPr>
        <w:t>re</w:t>
      </w:r>
      <w:r>
        <w:rPr>
          <w:rFonts w:ascii="Times New Roman" w:hAnsi="Times New Roman" w:cs="Times New Roman"/>
          <w:sz w:val="24"/>
          <w:szCs w:val="24"/>
        </w:rPr>
        <w:t xml:space="preserve"> rapidly growth sector</w:t>
      </w:r>
      <w:r w:rsidR="00822FB7">
        <w:rPr>
          <w:rFonts w:ascii="Times New Roman" w:hAnsi="Times New Roman" w:cs="Times New Roman"/>
          <w:sz w:val="24"/>
          <w:szCs w:val="24"/>
        </w:rPr>
        <w:t>s</w:t>
      </w:r>
      <w:r>
        <w:rPr>
          <w:rFonts w:ascii="Times New Roman" w:hAnsi="Times New Roman" w:cs="Times New Roman"/>
          <w:sz w:val="24"/>
          <w:szCs w:val="24"/>
        </w:rPr>
        <w:t xml:space="preserve"> of Information Technology which </w:t>
      </w:r>
      <w:r w:rsidR="00822FB7">
        <w:rPr>
          <w:rFonts w:ascii="Times New Roman" w:hAnsi="Times New Roman" w:cs="Times New Roman"/>
          <w:sz w:val="24"/>
          <w:szCs w:val="24"/>
        </w:rPr>
        <w:t xml:space="preserve">are </w:t>
      </w:r>
      <w:r>
        <w:rPr>
          <w:rFonts w:ascii="Times New Roman" w:hAnsi="Times New Roman" w:cs="Times New Roman"/>
          <w:sz w:val="24"/>
          <w:szCs w:val="24"/>
        </w:rPr>
        <w:t>continually impact</w:t>
      </w:r>
      <w:r w:rsidR="00822FB7">
        <w:rPr>
          <w:rFonts w:ascii="Times New Roman" w:hAnsi="Times New Roman" w:cs="Times New Roman"/>
          <w:sz w:val="24"/>
          <w:szCs w:val="24"/>
        </w:rPr>
        <w:t>ing</w:t>
      </w:r>
      <w:r>
        <w:rPr>
          <w:rFonts w:ascii="Times New Roman" w:hAnsi="Times New Roman" w:cs="Times New Roman"/>
          <w:sz w:val="24"/>
          <w:szCs w:val="24"/>
        </w:rPr>
        <w:t xml:space="preserve"> businesses, consumers, as well as legislative procedures on an increasingly, phenomenal rate. Business</w:t>
      </w:r>
      <w:r w:rsidR="00F7117F">
        <w:rPr>
          <w:rFonts w:ascii="Times New Roman" w:hAnsi="Times New Roman" w:cs="Times New Roman"/>
          <w:sz w:val="24"/>
          <w:szCs w:val="24"/>
        </w:rPr>
        <w:t xml:space="preserve"> </w:t>
      </w:r>
      <w:r>
        <w:rPr>
          <w:rFonts w:ascii="Times New Roman" w:hAnsi="Times New Roman" w:cs="Times New Roman"/>
          <w:sz w:val="24"/>
          <w:szCs w:val="24"/>
        </w:rPr>
        <w:t xml:space="preserve">- consumer relationships have been radically transformed over the last decade </w:t>
      </w:r>
      <w:r w:rsidR="00F7117F">
        <w:rPr>
          <w:rFonts w:ascii="Times New Roman" w:hAnsi="Times New Roman" w:cs="Times New Roman"/>
          <w:sz w:val="24"/>
          <w:szCs w:val="24"/>
        </w:rPr>
        <w:t xml:space="preserve">– with </w:t>
      </w:r>
      <w:r>
        <w:rPr>
          <w:rFonts w:ascii="Times New Roman" w:hAnsi="Times New Roman" w:cs="Times New Roman"/>
          <w:sz w:val="24"/>
          <w:szCs w:val="24"/>
        </w:rPr>
        <w:t>trade also</w:t>
      </w:r>
      <w:r w:rsidR="00F7117F">
        <w:rPr>
          <w:rFonts w:ascii="Times New Roman" w:hAnsi="Times New Roman" w:cs="Times New Roman"/>
          <w:sz w:val="24"/>
          <w:szCs w:val="24"/>
        </w:rPr>
        <w:t xml:space="preserve"> being</w:t>
      </w:r>
      <w:r>
        <w:rPr>
          <w:rFonts w:ascii="Times New Roman" w:hAnsi="Times New Roman" w:cs="Times New Roman"/>
          <w:sz w:val="24"/>
          <w:szCs w:val="24"/>
        </w:rPr>
        <w:t xml:space="preserve"> impacted by matters relating to privacy, copyright </w:t>
      </w:r>
      <w:r w:rsidR="00F7117F">
        <w:rPr>
          <w:rFonts w:ascii="Times New Roman" w:hAnsi="Times New Roman" w:cs="Times New Roman"/>
          <w:sz w:val="24"/>
          <w:szCs w:val="24"/>
        </w:rPr>
        <w:t xml:space="preserve">, intellectual property </w:t>
      </w:r>
      <w:r>
        <w:rPr>
          <w:rFonts w:ascii="Times New Roman" w:hAnsi="Times New Roman" w:cs="Times New Roman"/>
          <w:sz w:val="24"/>
          <w:szCs w:val="24"/>
        </w:rPr>
        <w:t xml:space="preserve">and patents related </w:t>
      </w:r>
      <w:r w:rsidR="00F7117F">
        <w:rPr>
          <w:rFonts w:ascii="Times New Roman" w:hAnsi="Times New Roman" w:cs="Times New Roman"/>
          <w:sz w:val="24"/>
          <w:szCs w:val="24"/>
        </w:rPr>
        <w:t>issue</w:t>
      </w:r>
      <w:r>
        <w:rPr>
          <w:rFonts w:ascii="Times New Roman" w:hAnsi="Times New Roman" w:cs="Times New Roman"/>
          <w:sz w:val="24"/>
          <w:szCs w:val="24"/>
        </w:rPr>
        <w:t xml:space="preserve">s – as well as the traditional move from a focus on products to </w:t>
      </w:r>
      <w:r>
        <w:rPr>
          <w:rFonts w:ascii="Times New Roman" w:hAnsi="Times New Roman" w:cs="Times New Roman"/>
          <w:sz w:val="24"/>
          <w:szCs w:val="24"/>
        </w:rPr>
        <w:lastRenderedPageBreak/>
        <w:t>an approach which takes greater interest in consumer preferences, tastes, their affordability – a</w:t>
      </w:r>
      <w:r w:rsidR="00896729">
        <w:rPr>
          <w:rFonts w:ascii="Times New Roman" w:hAnsi="Times New Roman" w:cs="Times New Roman"/>
          <w:sz w:val="24"/>
          <w:szCs w:val="24"/>
        </w:rPr>
        <w:t>nd</w:t>
      </w:r>
      <w:r>
        <w:rPr>
          <w:rFonts w:ascii="Times New Roman" w:hAnsi="Times New Roman" w:cs="Times New Roman"/>
          <w:sz w:val="24"/>
          <w:szCs w:val="24"/>
        </w:rPr>
        <w:t xml:space="preserve"> their accessibility and relevance to such products.</w:t>
      </w:r>
    </w:p>
    <w:p w14:paraId="16091BA1" w14:textId="2E1A4068" w:rsidR="004C4699" w:rsidRDefault="004C4699" w:rsidP="0041360E">
      <w:pPr>
        <w:jc w:val="both"/>
        <w:rPr>
          <w:rFonts w:ascii="Times New Roman" w:hAnsi="Times New Roman" w:cs="Times New Roman"/>
          <w:sz w:val="24"/>
          <w:szCs w:val="24"/>
        </w:rPr>
      </w:pPr>
      <w:r>
        <w:rPr>
          <w:rFonts w:ascii="Times New Roman" w:hAnsi="Times New Roman" w:cs="Times New Roman"/>
          <w:sz w:val="24"/>
          <w:szCs w:val="24"/>
        </w:rPr>
        <w:t>Consumer tastes and preferences continually impacted by ethical and climate related issues a</w:t>
      </w:r>
      <w:r w:rsidR="002919C0">
        <w:rPr>
          <w:rFonts w:ascii="Times New Roman" w:hAnsi="Times New Roman" w:cs="Times New Roman"/>
          <w:sz w:val="24"/>
          <w:szCs w:val="24"/>
        </w:rPr>
        <w:t>re</w:t>
      </w:r>
      <w:r>
        <w:rPr>
          <w:rFonts w:ascii="Times New Roman" w:hAnsi="Times New Roman" w:cs="Times New Roman"/>
          <w:sz w:val="24"/>
          <w:szCs w:val="24"/>
        </w:rPr>
        <w:t xml:space="preserve"> reflected by vegan choices, eco friendly products and the need for greater consideration of the ecosystem.</w:t>
      </w:r>
    </w:p>
    <w:p w14:paraId="36327354" w14:textId="487F25BF" w:rsidR="004C4699" w:rsidRDefault="004C4699" w:rsidP="0041360E">
      <w:pPr>
        <w:jc w:val="both"/>
        <w:rPr>
          <w:rFonts w:ascii="Times New Roman" w:hAnsi="Times New Roman" w:cs="Times New Roman"/>
          <w:sz w:val="24"/>
          <w:szCs w:val="24"/>
        </w:rPr>
      </w:pPr>
    </w:p>
    <w:p w14:paraId="50D7EE1F" w14:textId="4FF6A310" w:rsidR="004C4699" w:rsidRDefault="004C4699" w:rsidP="0041360E">
      <w:pPr>
        <w:jc w:val="both"/>
        <w:rPr>
          <w:rFonts w:ascii="Times New Roman" w:hAnsi="Times New Roman" w:cs="Times New Roman"/>
          <w:sz w:val="24"/>
          <w:szCs w:val="24"/>
        </w:rPr>
      </w:pPr>
      <w:r>
        <w:rPr>
          <w:rFonts w:ascii="Times New Roman" w:hAnsi="Times New Roman" w:cs="Times New Roman"/>
          <w:sz w:val="24"/>
          <w:szCs w:val="24"/>
        </w:rPr>
        <w:t>Having due regards to the above observations, and the increasingly growing popularity in many European countries, particularly, in respect of biologically grown and environmentally friendly products, it could be argued that there is adequate representation of consumer interests in respect of climate related issues and considerations. However due regard should also be made in respect of the affordability and accessibility of many consumers to such products.</w:t>
      </w:r>
    </w:p>
    <w:p w14:paraId="377616B4" w14:textId="29F00048" w:rsidR="005C7236" w:rsidRDefault="005C7236" w:rsidP="0041360E">
      <w:pPr>
        <w:jc w:val="both"/>
        <w:rPr>
          <w:rFonts w:ascii="Times New Roman" w:hAnsi="Times New Roman" w:cs="Times New Roman"/>
          <w:sz w:val="24"/>
          <w:szCs w:val="24"/>
        </w:rPr>
      </w:pPr>
    </w:p>
    <w:p w14:paraId="774782E0" w14:textId="77777777" w:rsidR="005C7236" w:rsidRDefault="005C7236" w:rsidP="0041360E">
      <w:pPr>
        <w:jc w:val="both"/>
        <w:rPr>
          <w:rFonts w:ascii="Times New Roman" w:hAnsi="Times New Roman" w:cs="Times New Roman"/>
          <w:sz w:val="24"/>
          <w:szCs w:val="24"/>
        </w:rPr>
      </w:pPr>
    </w:p>
    <w:p w14:paraId="49C81CAC" w14:textId="6FE6D504" w:rsidR="00493E65" w:rsidRPr="00392358" w:rsidRDefault="001F6C2E" w:rsidP="0041360E">
      <w:pPr>
        <w:jc w:val="both"/>
        <w:rPr>
          <w:rFonts w:ascii="Times New Roman" w:hAnsi="Times New Roman" w:cs="Times New Roman"/>
          <w:b/>
          <w:sz w:val="24"/>
          <w:szCs w:val="24"/>
        </w:rPr>
      </w:pPr>
      <w:r w:rsidRPr="00392358">
        <w:rPr>
          <w:rFonts w:ascii="Times New Roman" w:hAnsi="Times New Roman" w:cs="Times New Roman"/>
          <w:b/>
          <w:sz w:val="24"/>
          <w:szCs w:val="24"/>
        </w:rPr>
        <w:t>Main Issues to be Addressed</w:t>
      </w:r>
    </w:p>
    <w:p w14:paraId="4160CCB2" w14:textId="324E9C07" w:rsidR="00493E65" w:rsidRDefault="002D386A" w:rsidP="002D386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need for more representative interests, actors and group participation in legislative processes at supra national level</w:t>
      </w:r>
    </w:p>
    <w:p w14:paraId="3A48BFCF" w14:textId="77777777" w:rsidR="00D307FD" w:rsidRDefault="002D386A" w:rsidP="00D307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need for greater education of citizens as regards their rights, consequences of their decisions – particularly in respect of vital matters which relate to the accession and withdrawal of an individual member state from an exclusive membership of the European Union</w:t>
      </w:r>
    </w:p>
    <w:p w14:paraId="3334398F" w14:textId="0E22768E" w:rsidR="00D307FD" w:rsidRDefault="00D307FD" w:rsidP="00D307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w:t>
      </w:r>
      <w:r w:rsidRPr="00D307FD">
        <w:rPr>
          <w:rFonts w:ascii="Times New Roman" w:hAnsi="Times New Roman" w:cs="Times New Roman"/>
          <w:sz w:val="24"/>
          <w:szCs w:val="24"/>
        </w:rPr>
        <w:t xml:space="preserve">e need for greater </w:t>
      </w:r>
      <w:r>
        <w:rPr>
          <w:rFonts w:ascii="Times New Roman" w:hAnsi="Times New Roman" w:cs="Times New Roman"/>
          <w:sz w:val="24"/>
          <w:szCs w:val="24"/>
        </w:rPr>
        <w:t xml:space="preserve">collaboration and coordination between powerful multinational corporations, </w:t>
      </w:r>
      <w:proofErr w:type="spellStart"/>
      <w:r>
        <w:rPr>
          <w:rFonts w:ascii="Times New Roman" w:hAnsi="Times New Roman" w:cs="Times New Roman"/>
          <w:sz w:val="24"/>
          <w:szCs w:val="24"/>
        </w:rPr>
        <w:t>non governmental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and actors in matters relating to trade, climate and economic policy matters – as well as decision making processes</w:t>
      </w:r>
      <w:r w:rsidR="008E60A4">
        <w:rPr>
          <w:rFonts w:ascii="Times New Roman" w:hAnsi="Times New Roman" w:cs="Times New Roman"/>
          <w:sz w:val="24"/>
          <w:szCs w:val="24"/>
        </w:rPr>
        <w:t>.</w:t>
      </w:r>
    </w:p>
    <w:p w14:paraId="5FC740E5" w14:textId="37F60943" w:rsidR="00392358" w:rsidRPr="007B0009" w:rsidRDefault="008E60A4" w:rsidP="004136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Adopting a </w:t>
      </w:r>
      <w:r w:rsidR="00CE4169">
        <w:rPr>
          <w:rFonts w:ascii="Times New Roman" w:hAnsi="Times New Roman" w:cs="Times New Roman"/>
          <w:sz w:val="24"/>
          <w:szCs w:val="24"/>
        </w:rPr>
        <w:t xml:space="preserve">flexible, responsive and </w:t>
      </w:r>
      <w:r>
        <w:rPr>
          <w:rFonts w:ascii="Times New Roman" w:hAnsi="Times New Roman" w:cs="Times New Roman"/>
          <w:sz w:val="24"/>
          <w:szCs w:val="24"/>
        </w:rPr>
        <w:t xml:space="preserve">strategic approach which provides for the changing and evolutionary economic environment – whilst embracing other vital facets such as Information Technological advances, innovation, climate change considerations and the need to engage actors who are relevant, reflective and representative of the demands and needs of the modern environment, economy and technologies. </w:t>
      </w:r>
    </w:p>
    <w:p w14:paraId="096D7C3A" w14:textId="77777777" w:rsidR="007B0009" w:rsidRDefault="007B0009" w:rsidP="00833C66">
      <w:pPr>
        <w:jc w:val="both"/>
        <w:rPr>
          <w:rFonts w:ascii="Times New Roman" w:hAnsi="Times New Roman" w:cs="Times New Roman"/>
          <w:b/>
          <w:sz w:val="24"/>
          <w:szCs w:val="24"/>
        </w:rPr>
      </w:pPr>
    </w:p>
    <w:p w14:paraId="46F2C443" w14:textId="20236885" w:rsidR="0090391C" w:rsidRPr="00392358" w:rsidRDefault="007712E9" w:rsidP="00833C66">
      <w:pPr>
        <w:jc w:val="both"/>
        <w:rPr>
          <w:rFonts w:ascii="Times New Roman" w:hAnsi="Times New Roman" w:cs="Times New Roman"/>
          <w:b/>
          <w:sz w:val="24"/>
          <w:szCs w:val="24"/>
        </w:rPr>
      </w:pPr>
      <w:r w:rsidRPr="00392358">
        <w:rPr>
          <w:rFonts w:ascii="Times New Roman" w:hAnsi="Times New Roman" w:cs="Times New Roman"/>
          <w:b/>
          <w:sz w:val="24"/>
          <w:szCs w:val="24"/>
        </w:rPr>
        <w:t>Recommendations</w:t>
      </w:r>
    </w:p>
    <w:p w14:paraId="79B9EAAA" w14:textId="3D56F54E" w:rsidR="007712E9" w:rsidRDefault="007712E9" w:rsidP="00833C66">
      <w:pPr>
        <w:jc w:val="both"/>
        <w:rPr>
          <w:rFonts w:ascii="Times New Roman" w:hAnsi="Times New Roman" w:cs="Times New Roman"/>
          <w:sz w:val="24"/>
          <w:szCs w:val="24"/>
        </w:rPr>
      </w:pPr>
      <w:r>
        <w:rPr>
          <w:rFonts w:ascii="Times New Roman" w:hAnsi="Times New Roman" w:cs="Times New Roman"/>
          <w:sz w:val="24"/>
          <w:szCs w:val="24"/>
        </w:rPr>
        <w:t>In the paper, “</w:t>
      </w:r>
      <w:r w:rsidRPr="007712E9">
        <w:rPr>
          <w:rFonts w:ascii="Times New Roman" w:hAnsi="Times New Roman" w:cs="Times New Roman"/>
          <w:sz w:val="24"/>
          <w:szCs w:val="24"/>
        </w:rPr>
        <w:t>Financial Services and</w:t>
      </w:r>
      <w:r w:rsidR="008844BD">
        <w:rPr>
          <w:rFonts w:ascii="Times New Roman" w:hAnsi="Times New Roman" w:cs="Times New Roman"/>
          <w:sz w:val="24"/>
          <w:szCs w:val="24"/>
        </w:rPr>
        <w:t xml:space="preserve"> </w:t>
      </w:r>
      <w:r w:rsidRPr="007712E9">
        <w:rPr>
          <w:rFonts w:ascii="Times New Roman" w:hAnsi="Times New Roman" w:cs="Times New Roman"/>
          <w:sz w:val="24"/>
          <w:szCs w:val="24"/>
        </w:rPr>
        <w:t>Brexit: Navigating Towards Future Market Access</w:t>
      </w:r>
      <w:r>
        <w:rPr>
          <w:rFonts w:ascii="Times New Roman" w:hAnsi="Times New Roman" w:cs="Times New Roman"/>
          <w:sz w:val="24"/>
          <w:szCs w:val="24"/>
        </w:rPr>
        <w:t xml:space="preserve">”, Berger and </w:t>
      </w:r>
      <w:proofErr w:type="spellStart"/>
      <w:r>
        <w:rPr>
          <w:rFonts w:ascii="Times New Roman" w:hAnsi="Times New Roman" w:cs="Times New Roman"/>
          <w:sz w:val="24"/>
          <w:szCs w:val="24"/>
        </w:rPr>
        <w:t>Badenhoop</w:t>
      </w:r>
      <w:proofErr w:type="spellEnd"/>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propose five models </w:t>
      </w:r>
      <w:r w:rsidR="009C2419">
        <w:rPr>
          <w:rFonts w:ascii="Times New Roman" w:hAnsi="Times New Roman" w:cs="Times New Roman"/>
          <w:sz w:val="24"/>
          <w:szCs w:val="24"/>
        </w:rPr>
        <w:t>– within the scope of a Free Trade Agreement</w:t>
      </w:r>
      <w:r w:rsidR="002D5243">
        <w:rPr>
          <w:rFonts w:ascii="Times New Roman" w:hAnsi="Times New Roman" w:cs="Times New Roman"/>
          <w:sz w:val="24"/>
          <w:szCs w:val="24"/>
        </w:rPr>
        <w:t xml:space="preserve"> whereby it is also added that this scenario</w:t>
      </w:r>
      <w:r w:rsidR="001C56A4">
        <w:rPr>
          <w:rFonts w:ascii="Times New Roman" w:hAnsi="Times New Roman" w:cs="Times New Roman"/>
          <w:sz w:val="24"/>
          <w:szCs w:val="24"/>
        </w:rPr>
        <w:t xml:space="preserve"> (entering an FTA)</w:t>
      </w:r>
      <w:r w:rsidR="002D5243">
        <w:rPr>
          <w:rFonts w:ascii="Times New Roman" w:hAnsi="Times New Roman" w:cs="Times New Roman"/>
          <w:sz w:val="24"/>
          <w:szCs w:val="24"/>
        </w:rPr>
        <w:t xml:space="preserve"> </w:t>
      </w:r>
      <w:r w:rsidR="00232113">
        <w:rPr>
          <w:rFonts w:ascii="Times New Roman" w:hAnsi="Times New Roman" w:cs="Times New Roman"/>
          <w:sz w:val="24"/>
          <w:szCs w:val="24"/>
        </w:rPr>
        <w:t>sh</w:t>
      </w:r>
      <w:r w:rsidR="002D5243">
        <w:rPr>
          <w:rFonts w:ascii="Times New Roman" w:hAnsi="Times New Roman" w:cs="Times New Roman"/>
          <w:sz w:val="24"/>
          <w:szCs w:val="24"/>
        </w:rPr>
        <w:t>ould prevent a “no deal scenario”</w:t>
      </w:r>
      <w:r w:rsidR="0000447E">
        <w:rPr>
          <w:rFonts w:ascii="Times New Roman" w:hAnsi="Times New Roman" w:cs="Times New Roman"/>
          <w:sz w:val="24"/>
          <w:szCs w:val="24"/>
        </w:rPr>
        <w:t xml:space="preserve"> – as well as </w:t>
      </w:r>
      <w:r w:rsidR="0000447E">
        <w:rPr>
          <w:rFonts w:ascii="Times New Roman" w:hAnsi="Times New Roman" w:cs="Times New Roman"/>
          <w:sz w:val="24"/>
          <w:szCs w:val="24"/>
        </w:rPr>
        <w:lastRenderedPageBreak/>
        <w:t xml:space="preserve">consequential financial disruptions occasioned by a </w:t>
      </w:r>
      <w:r w:rsidR="0005075D">
        <w:rPr>
          <w:rFonts w:ascii="Times New Roman" w:hAnsi="Times New Roman" w:cs="Times New Roman"/>
          <w:sz w:val="24"/>
          <w:szCs w:val="24"/>
        </w:rPr>
        <w:t xml:space="preserve">“no deal” </w:t>
      </w:r>
      <w:r w:rsidR="0000447E">
        <w:rPr>
          <w:rFonts w:ascii="Times New Roman" w:hAnsi="Times New Roman" w:cs="Times New Roman"/>
          <w:sz w:val="24"/>
          <w:szCs w:val="24"/>
        </w:rPr>
        <w:t xml:space="preserve">scenario. The five models are as </w:t>
      </w:r>
      <w:proofErr w:type="gramStart"/>
      <w:r w:rsidR="0000447E">
        <w:rPr>
          <w:rFonts w:ascii="Times New Roman" w:hAnsi="Times New Roman" w:cs="Times New Roman"/>
          <w:sz w:val="24"/>
          <w:szCs w:val="24"/>
        </w:rPr>
        <w:t xml:space="preserve">follows </w:t>
      </w:r>
      <w:r>
        <w:rPr>
          <w:rFonts w:ascii="Times New Roman" w:hAnsi="Times New Roman" w:cs="Times New Roman"/>
          <w:sz w:val="24"/>
          <w:szCs w:val="24"/>
        </w:rPr>
        <w:t>:</w:t>
      </w:r>
      <w:proofErr w:type="gramEnd"/>
    </w:p>
    <w:p w14:paraId="39B2FC7D" w14:textId="7566C442" w:rsidR="007712E9" w:rsidRDefault="009C2419" w:rsidP="00833C66">
      <w:pPr>
        <w:pStyle w:val="ListParagraph"/>
        <w:numPr>
          <w:ilvl w:val="0"/>
          <w:numId w:val="1"/>
        </w:numPr>
        <w:jc w:val="both"/>
        <w:rPr>
          <w:rFonts w:ascii="Times New Roman" w:hAnsi="Times New Roman" w:cs="Times New Roman"/>
          <w:sz w:val="24"/>
          <w:szCs w:val="24"/>
        </w:rPr>
      </w:pPr>
      <w:r w:rsidRPr="009C2419">
        <w:rPr>
          <w:rFonts w:ascii="Times New Roman" w:hAnsi="Times New Roman" w:cs="Times New Roman"/>
          <w:sz w:val="24"/>
          <w:szCs w:val="24"/>
        </w:rPr>
        <w:t>FTA without</w:t>
      </w:r>
      <w:r w:rsidR="00392358">
        <w:rPr>
          <w:rFonts w:ascii="Times New Roman" w:hAnsi="Times New Roman" w:cs="Times New Roman"/>
          <w:sz w:val="24"/>
          <w:szCs w:val="24"/>
        </w:rPr>
        <w:t xml:space="preserve"> </w:t>
      </w:r>
      <w:r w:rsidRPr="009C2419">
        <w:rPr>
          <w:rFonts w:ascii="Times New Roman" w:hAnsi="Times New Roman" w:cs="Times New Roman"/>
          <w:sz w:val="24"/>
          <w:szCs w:val="24"/>
        </w:rPr>
        <w:t>Specific Rules for</w:t>
      </w:r>
      <w:r w:rsidR="00392358">
        <w:rPr>
          <w:rFonts w:ascii="Times New Roman" w:hAnsi="Times New Roman" w:cs="Times New Roman"/>
          <w:sz w:val="24"/>
          <w:szCs w:val="24"/>
        </w:rPr>
        <w:t xml:space="preserve"> </w:t>
      </w:r>
      <w:r w:rsidRPr="009C2419">
        <w:rPr>
          <w:rFonts w:ascii="Times New Roman" w:hAnsi="Times New Roman" w:cs="Times New Roman"/>
          <w:sz w:val="24"/>
          <w:szCs w:val="24"/>
        </w:rPr>
        <w:t>Financial Services (‘Bare Bones Deal’)</w:t>
      </w:r>
    </w:p>
    <w:p w14:paraId="4B3C63D2" w14:textId="79480620" w:rsidR="009C2419" w:rsidRDefault="009C2419" w:rsidP="00833C66">
      <w:pPr>
        <w:pStyle w:val="ListParagraph"/>
        <w:numPr>
          <w:ilvl w:val="0"/>
          <w:numId w:val="1"/>
        </w:numPr>
        <w:jc w:val="both"/>
        <w:rPr>
          <w:rFonts w:ascii="Times New Roman" w:hAnsi="Times New Roman" w:cs="Times New Roman"/>
          <w:sz w:val="24"/>
          <w:szCs w:val="24"/>
        </w:rPr>
      </w:pPr>
      <w:r w:rsidRPr="009C2419">
        <w:rPr>
          <w:rFonts w:ascii="Times New Roman" w:hAnsi="Times New Roman" w:cs="Times New Roman"/>
          <w:sz w:val="24"/>
          <w:szCs w:val="24"/>
        </w:rPr>
        <w:t>FTA with Few Specific Rules for</w:t>
      </w:r>
      <w:r w:rsidR="00392358">
        <w:rPr>
          <w:rFonts w:ascii="Times New Roman" w:hAnsi="Times New Roman" w:cs="Times New Roman"/>
          <w:sz w:val="24"/>
          <w:szCs w:val="24"/>
        </w:rPr>
        <w:t xml:space="preserve"> </w:t>
      </w:r>
      <w:r w:rsidRPr="009C2419">
        <w:rPr>
          <w:rFonts w:ascii="Times New Roman" w:hAnsi="Times New Roman" w:cs="Times New Roman"/>
          <w:sz w:val="24"/>
          <w:szCs w:val="24"/>
        </w:rPr>
        <w:t>Financial Services (‘CETA Model’)</w:t>
      </w:r>
    </w:p>
    <w:p w14:paraId="4C4B46C7" w14:textId="20475265" w:rsidR="007A1AF4" w:rsidRDefault="007A1AF4" w:rsidP="00833C66">
      <w:pPr>
        <w:pStyle w:val="ListParagraph"/>
        <w:numPr>
          <w:ilvl w:val="0"/>
          <w:numId w:val="1"/>
        </w:numPr>
        <w:jc w:val="both"/>
        <w:rPr>
          <w:rFonts w:ascii="Times New Roman" w:hAnsi="Times New Roman" w:cs="Times New Roman"/>
          <w:sz w:val="24"/>
          <w:szCs w:val="24"/>
        </w:rPr>
      </w:pPr>
      <w:r w:rsidRPr="007A1AF4">
        <w:rPr>
          <w:rFonts w:ascii="Times New Roman" w:hAnsi="Times New Roman" w:cs="Times New Roman"/>
          <w:sz w:val="24"/>
          <w:szCs w:val="24"/>
        </w:rPr>
        <w:t>FTA Granting Market Access via</w:t>
      </w:r>
      <w:r w:rsidR="00392358">
        <w:rPr>
          <w:rFonts w:ascii="Times New Roman" w:hAnsi="Times New Roman" w:cs="Times New Roman"/>
          <w:sz w:val="24"/>
          <w:szCs w:val="24"/>
        </w:rPr>
        <w:t xml:space="preserve"> </w:t>
      </w:r>
      <w:r w:rsidRPr="007A1AF4">
        <w:rPr>
          <w:rFonts w:ascii="Times New Roman" w:hAnsi="Times New Roman" w:cs="Times New Roman"/>
          <w:sz w:val="24"/>
          <w:szCs w:val="24"/>
        </w:rPr>
        <w:t>Equivalence Regime (‘Equivalence Plus Model’)</w:t>
      </w:r>
    </w:p>
    <w:p w14:paraId="4DE4A5CC" w14:textId="095AE28C" w:rsidR="007A1AF4" w:rsidRDefault="007A1AF4" w:rsidP="00833C66">
      <w:pPr>
        <w:pStyle w:val="ListParagraph"/>
        <w:numPr>
          <w:ilvl w:val="0"/>
          <w:numId w:val="1"/>
        </w:numPr>
        <w:jc w:val="both"/>
        <w:rPr>
          <w:rFonts w:ascii="Times New Roman" w:hAnsi="Times New Roman" w:cs="Times New Roman"/>
          <w:sz w:val="24"/>
          <w:szCs w:val="24"/>
        </w:rPr>
      </w:pPr>
      <w:r w:rsidRPr="007A1AF4">
        <w:rPr>
          <w:rFonts w:ascii="Times New Roman" w:hAnsi="Times New Roman" w:cs="Times New Roman"/>
          <w:sz w:val="24"/>
          <w:szCs w:val="24"/>
        </w:rPr>
        <w:t>FTA Granting Full Market Access Based on</w:t>
      </w:r>
      <w:r w:rsidR="00392358">
        <w:rPr>
          <w:rFonts w:ascii="Times New Roman" w:hAnsi="Times New Roman" w:cs="Times New Roman"/>
          <w:sz w:val="24"/>
          <w:szCs w:val="24"/>
        </w:rPr>
        <w:t xml:space="preserve"> </w:t>
      </w:r>
      <w:r w:rsidRPr="007A1AF4">
        <w:rPr>
          <w:rFonts w:ascii="Times New Roman" w:hAnsi="Times New Roman" w:cs="Times New Roman"/>
          <w:sz w:val="24"/>
          <w:szCs w:val="24"/>
        </w:rPr>
        <w:t>Alignment (‘Alignment Model’)</w:t>
      </w:r>
    </w:p>
    <w:p w14:paraId="6EC451A2" w14:textId="45520537" w:rsidR="007A1AF4" w:rsidRPr="007712E9" w:rsidRDefault="002D072B" w:rsidP="00833C66">
      <w:pPr>
        <w:pStyle w:val="ListParagraph"/>
        <w:numPr>
          <w:ilvl w:val="0"/>
          <w:numId w:val="1"/>
        </w:numPr>
        <w:jc w:val="both"/>
        <w:rPr>
          <w:rFonts w:ascii="Times New Roman" w:hAnsi="Times New Roman" w:cs="Times New Roman"/>
          <w:sz w:val="24"/>
          <w:szCs w:val="24"/>
        </w:rPr>
      </w:pPr>
      <w:r w:rsidRPr="002D072B">
        <w:rPr>
          <w:rFonts w:ascii="Times New Roman" w:hAnsi="Times New Roman" w:cs="Times New Roman"/>
          <w:sz w:val="24"/>
          <w:szCs w:val="24"/>
        </w:rPr>
        <w:t>FTA Granting Full Market Access Based on</w:t>
      </w:r>
      <w:r w:rsidR="00392358">
        <w:rPr>
          <w:rFonts w:ascii="Times New Roman" w:hAnsi="Times New Roman" w:cs="Times New Roman"/>
          <w:sz w:val="24"/>
          <w:szCs w:val="24"/>
        </w:rPr>
        <w:t xml:space="preserve"> </w:t>
      </w:r>
      <w:r w:rsidRPr="002D072B">
        <w:rPr>
          <w:rFonts w:ascii="Times New Roman" w:hAnsi="Times New Roman" w:cs="Times New Roman"/>
          <w:sz w:val="24"/>
          <w:szCs w:val="24"/>
        </w:rPr>
        <w:t>Alignment and</w:t>
      </w:r>
      <w:r w:rsidR="00392358">
        <w:rPr>
          <w:rFonts w:ascii="Times New Roman" w:hAnsi="Times New Roman" w:cs="Times New Roman"/>
          <w:sz w:val="24"/>
          <w:szCs w:val="24"/>
        </w:rPr>
        <w:t xml:space="preserve"> </w:t>
      </w:r>
      <w:r w:rsidRPr="002D072B">
        <w:rPr>
          <w:rFonts w:ascii="Times New Roman" w:hAnsi="Times New Roman" w:cs="Times New Roman"/>
          <w:sz w:val="24"/>
          <w:szCs w:val="24"/>
        </w:rPr>
        <w:t>Non</w:t>
      </w:r>
      <w:r w:rsidRPr="002D072B">
        <w:rPr>
          <w:rFonts w:ascii="Cambria Math" w:hAnsi="Cambria Math" w:cs="Cambria Math"/>
          <w:sz w:val="24"/>
          <w:szCs w:val="24"/>
        </w:rPr>
        <w:t>‑</w:t>
      </w:r>
      <w:r w:rsidRPr="002D072B">
        <w:rPr>
          <w:rFonts w:ascii="Times New Roman" w:hAnsi="Times New Roman" w:cs="Times New Roman"/>
          <w:sz w:val="24"/>
          <w:szCs w:val="24"/>
        </w:rPr>
        <w:t>alignment (‘Bold and</w:t>
      </w:r>
      <w:r w:rsidR="00392358">
        <w:rPr>
          <w:rFonts w:ascii="Times New Roman" w:hAnsi="Times New Roman" w:cs="Times New Roman"/>
          <w:sz w:val="24"/>
          <w:szCs w:val="24"/>
        </w:rPr>
        <w:t xml:space="preserve"> </w:t>
      </w:r>
      <w:r w:rsidRPr="002D072B">
        <w:rPr>
          <w:rFonts w:ascii="Times New Roman" w:hAnsi="Times New Roman" w:cs="Times New Roman"/>
          <w:sz w:val="24"/>
          <w:szCs w:val="24"/>
        </w:rPr>
        <w:t>Ambitious’)</w:t>
      </w:r>
    </w:p>
    <w:p w14:paraId="163C5DD1" w14:textId="46BA0B51" w:rsidR="00392358" w:rsidRDefault="008844BD" w:rsidP="0041360E">
      <w:pPr>
        <w:jc w:val="both"/>
        <w:rPr>
          <w:rFonts w:ascii="Times New Roman" w:hAnsi="Times New Roman" w:cs="Times New Roman"/>
          <w:sz w:val="24"/>
          <w:szCs w:val="24"/>
        </w:rPr>
      </w:pPr>
      <w:r>
        <w:rPr>
          <w:rFonts w:ascii="Times New Roman" w:hAnsi="Times New Roman" w:cs="Times New Roman"/>
          <w:sz w:val="24"/>
          <w:szCs w:val="24"/>
        </w:rPr>
        <w:t xml:space="preserve"> Whichever model or proposal is eventually adopted, will require consideration of the importance of coordination between emerging global players, innovative and strategic partnerships, as well as the need incorporate evolving consumer tastes and preferences in an increasingly dominated environment characterized by the influence of phenomenal and revolutionary changes attributed to Information Technology, the Internet Revolution, Artificial Intelligence and blockchain systems – to name a few.</w:t>
      </w:r>
    </w:p>
    <w:p w14:paraId="6A510A47" w14:textId="38AB2FA6" w:rsidR="001C53EA" w:rsidRPr="00E22E89" w:rsidRDefault="001C53EA" w:rsidP="0041360E">
      <w:pPr>
        <w:jc w:val="both"/>
        <w:rPr>
          <w:rFonts w:ascii="Times New Roman" w:hAnsi="Times New Roman" w:cs="Times New Roman"/>
          <w:sz w:val="24"/>
          <w:szCs w:val="24"/>
        </w:rPr>
      </w:pPr>
      <w:r w:rsidRPr="00E22E89">
        <w:rPr>
          <w:rFonts w:ascii="Times New Roman" w:hAnsi="Times New Roman" w:cs="Times New Roman"/>
          <w:sz w:val="24"/>
          <w:szCs w:val="24"/>
        </w:rPr>
        <w:t xml:space="preserve">In recommending an “upper boundary against which an EU-UK FTA is to be measured as the EEA Agreement”, which </w:t>
      </w:r>
      <w:r w:rsidR="00E22E89">
        <w:rPr>
          <w:rFonts w:ascii="Times New Roman" w:hAnsi="Times New Roman" w:cs="Times New Roman"/>
          <w:sz w:val="24"/>
          <w:szCs w:val="24"/>
        </w:rPr>
        <w:t>“</w:t>
      </w:r>
      <w:r w:rsidRPr="00E22E89">
        <w:rPr>
          <w:rFonts w:ascii="Times New Roman" w:hAnsi="Times New Roman" w:cs="Times New Roman"/>
          <w:sz w:val="24"/>
          <w:szCs w:val="24"/>
        </w:rPr>
        <w:t xml:space="preserve">creates an internal market between the current 28 EU Member States and the three EEA European Free Trade Association (EFTA) States Iceland, Liechtenstein and Norway (EEA Internal Market)”,  Berger and </w:t>
      </w:r>
      <w:proofErr w:type="spellStart"/>
      <w:r w:rsidRPr="00E22E89">
        <w:rPr>
          <w:rFonts w:ascii="Times New Roman" w:hAnsi="Times New Roman" w:cs="Times New Roman"/>
          <w:sz w:val="24"/>
          <w:szCs w:val="24"/>
        </w:rPr>
        <w:t>Badenhoop</w:t>
      </w:r>
      <w:proofErr w:type="spellEnd"/>
      <w:r w:rsidRPr="00E22E89">
        <w:rPr>
          <w:rFonts w:ascii="Times New Roman" w:hAnsi="Times New Roman" w:cs="Times New Roman"/>
          <w:sz w:val="24"/>
          <w:szCs w:val="24"/>
        </w:rPr>
        <w:t xml:space="preserve"> </w:t>
      </w:r>
      <w:r w:rsidR="00A64E5B">
        <w:rPr>
          <w:rFonts w:ascii="Times New Roman" w:hAnsi="Times New Roman" w:cs="Times New Roman"/>
          <w:sz w:val="24"/>
          <w:szCs w:val="24"/>
        </w:rPr>
        <w:t>apparent</w:t>
      </w:r>
      <w:r w:rsidRPr="00E22E89">
        <w:rPr>
          <w:rFonts w:ascii="Times New Roman" w:hAnsi="Times New Roman" w:cs="Times New Roman"/>
          <w:sz w:val="24"/>
          <w:szCs w:val="24"/>
        </w:rPr>
        <w:t>ly envisage, continu</w:t>
      </w:r>
      <w:r w:rsidR="0026680C">
        <w:rPr>
          <w:rFonts w:ascii="Times New Roman" w:hAnsi="Times New Roman" w:cs="Times New Roman"/>
          <w:sz w:val="24"/>
          <w:szCs w:val="24"/>
        </w:rPr>
        <w:t>ed</w:t>
      </w:r>
      <w:r w:rsidRPr="00E22E89">
        <w:rPr>
          <w:rFonts w:ascii="Times New Roman" w:hAnsi="Times New Roman" w:cs="Times New Roman"/>
          <w:sz w:val="24"/>
          <w:szCs w:val="24"/>
        </w:rPr>
        <w:t xml:space="preserve"> trade relations</w:t>
      </w:r>
      <w:r w:rsidR="0026680C">
        <w:rPr>
          <w:rFonts w:ascii="Times New Roman" w:hAnsi="Times New Roman" w:cs="Times New Roman"/>
          <w:sz w:val="24"/>
          <w:szCs w:val="24"/>
        </w:rPr>
        <w:t xml:space="preserve"> between </w:t>
      </w:r>
      <w:r w:rsidRPr="00E22E89">
        <w:rPr>
          <w:rFonts w:ascii="Times New Roman" w:hAnsi="Times New Roman" w:cs="Times New Roman"/>
          <w:sz w:val="24"/>
          <w:szCs w:val="24"/>
        </w:rPr>
        <w:t xml:space="preserve">major trade partners, as well as the ideal solution towards </w:t>
      </w:r>
      <w:r w:rsidR="005F597E" w:rsidRPr="00E22E89">
        <w:rPr>
          <w:rFonts w:ascii="Times New Roman" w:hAnsi="Times New Roman" w:cs="Times New Roman"/>
          <w:sz w:val="24"/>
          <w:szCs w:val="24"/>
        </w:rPr>
        <w:t xml:space="preserve">the path of </w:t>
      </w:r>
      <w:r w:rsidRPr="00E22E89">
        <w:rPr>
          <w:rFonts w:ascii="Times New Roman" w:hAnsi="Times New Roman" w:cs="Times New Roman"/>
          <w:sz w:val="24"/>
          <w:szCs w:val="24"/>
        </w:rPr>
        <w:t xml:space="preserve">convergence without severe financial disruptions </w:t>
      </w:r>
      <w:r w:rsidR="005F597E" w:rsidRPr="00E22E89">
        <w:rPr>
          <w:rFonts w:ascii="Times New Roman" w:hAnsi="Times New Roman" w:cs="Times New Roman"/>
          <w:sz w:val="24"/>
          <w:szCs w:val="24"/>
        </w:rPr>
        <w:t xml:space="preserve">and significant costs </w:t>
      </w:r>
      <w:r w:rsidRPr="00E22E89">
        <w:rPr>
          <w:rFonts w:ascii="Times New Roman" w:hAnsi="Times New Roman" w:cs="Times New Roman"/>
          <w:sz w:val="24"/>
          <w:szCs w:val="24"/>
        </w:rPr>
        <w:t>even in the event of transitional change.</w:t>
      </w:r>
      <w:r w:rsidR="005F597E" w:rsidRPr="00E22E89">
        <w:rPr>
          <w:rFonts w:ascii="Times New Roman" w:hAnsi="Times New Roman" w:cs="Times New Roman"/>
          <w:sz w:val="24"/>
          <w:szCs w:val="24"/>
        </w:rPr>
        <w:t xml:space="preserve"> </w:t>
      </w:r>
      <w:proofErr w:type="gramStart"/>
      <w:r w:rsidR="005F597E" w:rsidRPr="00E22E89">
        <w:rPr>
          <w:rFonts w:ascii="Times New Roman" w:hAnsi="Times New Roman" w:cs="Times New Roman"/>
          <w:sz w:val="24"/>
          <w:szCs w:val="24"/>
        </w:rPr>
        <w:t>However</w:t>
      </w:r>
      <w:proofErr w:type="gramEnd"/>
      <w:r w:rsidR="005F597E" w:rsidRPr="00E22E89">
        <w:rPr>
          <w:rFonts w:ascii="Times New Roman" w:hAnsi="Times New Roman" w:cs="Times New Roman"/>
          <w:sz w:val="24"/>
          <w:szCs w:val="24"/>
        </w:rPr>
        <w:t xml:space="preserve"> such an agreement should also provide for the engagement and incorporation of emerging global actors and innovative partnerships in relation to matters of trade, climate change, innovation and sustainable development. As discussed in the paper, such engagements </w:t>
      </w:r>
      <w:r w:rsidR="0026680C">
        <w:rPr>
          <w:rFonts w:ascii="Times New Roman" w:hAnsi="Times New Roman" w:cs="Times New Roman"/>
          <w:sz w:val="24"/>
          <w:szCs w:val="24"/>
        </w:rPr>
        <w:t xml:space="preserve">could </w:t>
      </w:r>
      <w:r w:rsidR="005F597E" w:rsidRPr="00E22E89">
        <w:rPr>
          <w:rFonts w:ascii="Times New Roman" w:hAnsi="Times New Roman" w:cs="Times New Roman"/>
          <w:sz w:val="24"/>
          <w:szCs w:val="24"/>
        </w:rPr>
        <w:t>also facilitate a greater degree of representative interests in matters relating to these areas,</w:t>
      </w:r>
      <w:r w:rsidR="0026680C">
        <w:rPr>
          <w:rFonts w:ascii="Times New Roman" w:hAnsi="Times New Roman" w:cs="Times New Roman"/>
          <w:sz w:val="24"/>
          <w:szCs w:val="24"/>
        </w:rPr>
        <w:t xml:space="preserve"> greater possibilities of attaining sustainable development goals,</w:t>
      </w:r>
      <w:r w:rsidR="005F597E" w:rsidRPr="00E22E89">
        <w:rPr>
          <w:rFonts w:ascii="Times New Roman" w:hAnsi="Times New Roman" w:cs="Times New Roman"/>
          <w:sz w:val="24"/>
          <w:szCs w:val="24"/>
        </w:rPr>
        <w:t xml:space="preserve"> as well as </w:t>
      </w:r>
      <w:r w:rsidR="0026680C">
        <w:rPr>
          <w:rFonts w:ascii="Times New Roman" w:hAnsi="Times New Roman" w:cs="Times New Roman"/>
          <w:sz w:val="24"/>
          <w:szCs w:val="24"/>
        </w:rPr>
        <w:t>more</w:t>
      </w:r>
      <w:r w:rsidR="005F597E" w:rsidRPr="00E22E89">
        <w:rPr>
          <w:rFonts w:ascii="Times New Roman" w:hAnsi="Times New Roman" w:cs="Times New Roman"/>
          <w:sz w:val="24"/>
          <w:szCs w:val="24"/>
        </w:rPr>
        <w:t xml:space="preserve"> transparency and democratic accountability. Such accountability also incorporating the need for greater coordination between all levels and actors involved – in relation also to resource allocation and funding.</w:t>
      </w:r>
    </w:p>
    <w:p w14:paraId="1D706B29" w14:textId="77777777" w:rsidR="001C53EA" w:rsidRDefault="001C53EA" w:rsidP="0041360E">
      <w:pPr>
        <w:jc w:val="both"/>
        <w:rPr>
          <w:rFonts w:ascii="Times New Roman" w:hAnsi="Times New Roman" w:cs="Times New Roman"/>
          <w:sz w:val="24"/>
          <w:szCs w:val="24"/>
        </w:rPr>
      </w:pPr>
    </w:p>
    <w:p w14:paraId="055299F4" w14:textId="376A785B" w:rsidR="0090391C" w:rsidRDefault="008844BD" w:rsidP="0041360E">
      <w:pPr>
        <w:jc w:val="both"/>
        <w:rPr>
          <w:rFonts w:ascii="Times New Roman" w:hAnsi="Times New Roman" w:cs="Times New Roman"/>
          <w:sz w:val="24"/>
          <w:szCs w:val="24"/>
        </w:rPr>
      </w:pPr>
      <w:r>
        <w:rPr>
          <w:rFonts w:ascii="Times New Roman" w:hAnsi="Times New Roman" w:cs="Times New Roman"/>
          <w:sz w:val="24"/>
          <w:szCs w:val="24"/>
        </w:rPr>
        <w:t>The future of financial services</w:t>
      </w:r>
      <w:r w:rsidR="00315253">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cannot be considered without due attention being accorded to advertising and marketing platforms – as well as mediums of exchange – and particularly those which accord with consumer tastes and preferences. Long term planning in </w:t>
      </w:r>
      <w:proofErr w:type="gramStart"/>
      <w:r>
        <w:rPr>
          <w:rFonts w:ascii="Times New Roman" w:hAnsi="Times New Roman" w:cs="Times New Roman"/>
          <w:sz w:val="24"/>
          <w:szCs w:val="24"/>
        </w:rPr>
        <w:t>investment based</w:t>
      </w:r>
      <w:proofErr w:type="gramEnd"/>
      <w:r>
        <w:rPr>
          <w:rFonts w:ascii="Times New Roman" w:hAnsi="Times New Roman" w:cs="Times New Roman"/>
          <w:sz w:val="24"/>
          <w:szCs w:val="24"/>
        </w:rPr>
        <w:t xml:space="preserve"> decisions and collaborative partnerships also provide competitive advantages</w:t>
      </w:r>
      <w:r w:rsidR="00E71B93">
        <w:rPr>
          <w:rFonts w:ascii="Times New Roman" w:hAnsi="Times New Roman" w:cs="Times New Roman"/>
          <w:sz w:val="24"/>
          <w:szCs w:val="24"/>
        </w:rPr>
        <w:t xml:space="preserve">, economies of scale </w:t>
      </w:r>
      <w:r w:rsidR="00E71B93">
        <w:rPr>
          <w:rFonts w:ascii="Times New Roman" w:hAnsi="Times New Roman" w:cs="Times New Roman"/>
          <w:sz w:val="24"/>
          <w:szCs w:val="24"/>
        </w:rPr>
        <w:lastRenderedPageBreak/>
        <w:t>and greater returns</w:t>
      </w:r>
      <w:r>
        <w:rPr>
          <w:rFonts w:ascii="Times New Roman" w:hAnsi="Times New Roman" w:cs="Times New Roman"/>
          <w:sz w:val="24"/>
          <w:szCs w:val="24"/>
        </w:rPr>
        <w:t xml:space="preserve"> in the sense of conveying</w:t>
      </w:r>
      <w:r w:rsidR="00E71B93">
        <w:rPr>
          <w:rFonts w:ascii="Times New Roman" w:hAnsi="Times New Roman" w:cs="Times New Roman"/>
          <w:sz w:val="24"/>
          <w:szCs w:val="24"/>
        </w:rPr>
        <w:t xml:space="preserve">, </w:t>
      </w:r>
      <w:r>
        <w:rPr>
          <w:rFonts w:ascii="Times New Roman" w:hAnsi="Times New Roman" w:cs="Times New Roman"/>
          <w:sz w:val="24"/>
          <w:szCs w:val="24"/>
        </w:rPr>
        <w:t>transferring skills</w:t>
      </w:r>
      <w:r w:rsidR="00E71B93">
        <w:rPr>
          <w:rFonts w:ascii="Times New Roman" w:hAnsi="Times New Roman" w:cs="Times New Roman"/>
          <w:sz w:val="24"/>
          <w:szCs w:val="24"/>
        </w:rPr>
        <w:t>, and more importantly preserving and retaining expertise</w:t>
      </w:r>
      <w:r>
        <w:rPr>
          <w:rFonts w:ascii="Times New Roman" w:hAnsi="Times New Roman" w:cs="Times New Roman"/>
          <w:sz w:val="24"/>
          <w:szCs w:val="24"/>
        </w:rPr>
        <w:t xml:space="preserve"> internally between those partnerships</w:t>
      </w:r>
      <w:r w:rsidR="00E71B93">
        <w:rPr>
          <w:rFonts w:ascii="Times New Roman" w:hAnsi="Times New Roman" w:cs="Times New Roman"/>
          <w:sz w:val="24"/>
          <w:szCs w:val="24"/>
        </w:rPr>
        <w:t>.</w:t>
      </w:r>
      <w:r w:rsidR="00E65210">
        <w:rPr>
          <w:rStyle w:val="FootnoteReference"/>
          <w:rFonts w:ascii="Times New Roman" w:hAnsi="Times New Roman" w:cs="Times New Roman"/>
          <w:sz w:val="24"/>
          <w:szCs w:val="24"/>
        </w:rPr>
        <w:footnoteReference w:id="14"/>
      </w:r>
    </w:p>
    <w:p w14:paraId="2FC9E198" w14:textId="1DD34432" w:rsidR="00BD2FEE" w:rsidRPr="001C5261" w:rsidRDefault="00607E5A" w:rsidP="0041360E">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proposal</w:t>
      </w:r>
      <w:proofErr w:type="gramEnd"/>
      <w:r>
        <w:rPr>
          <w:rFonts w:ascii="Times New Roman" w:hAnsi="Times New Roman" w:cs="Times New Roman"/>
          <w:sz w:val="24"/>
          <w:szCs w:val="24"/>
        </w:rPr>
        <w:t xml:space="preserve"> which is eventually adopted by the United Kingdom could, ultimately, be determined by its potential major trading partners. However, the interests of its citizens – should also be a decisive factor in opting for a model that would avert a “no deal scenario”.</w:t>
      </w:r>
    </w:p>
    <w:p w14:paraId="51D5BF6A" w14:textId="77777777" w:rsidR="005C7236" w:rsidRDefault="005C7236" w:rsidP="0041360E">
      <w:pPr>
        <w:jc w:val="both"/>
        <w:rPr>
          <w:rFonts w:ascii="Times New Roman" w:hAnsi="Times New Roman" w:cs="Times New Roman"/>
          <w:b/>
          <w:sz w:val="24"/>
          <w:szCs w:val="24"/>
        </w:rPr>
      </w:pPr>
    </w:p>
    <w:p w14:paraId="4D9BAADC" w14:textId="699C648A" w:rsidR="00D307FD" w:rsidRPr="00392358" w:rsidRDefault="00D307FD" w:rsidP="0041360E">
      <w:pPr>
        <w:jc w:val="both"/>
        <w:rPr>
          <w:rFonts w:ascii="Times New Roman" w:hAnsi="Times New Roman" w:cs="Times New Roman"/>
          <w:b/>
          <w:sz w:val="24"/>
          <w:szCs w:val="24"/>
        </w:rPr>
      </w:pPr>
      <w:r w:rsidRPr="00392358">
        <w:rPr>
          <w:rFonts w:ascii="Times New Roman" w:hAnsi="Times New Roman" w:cs="Times New Roman"/>
          <w:b/>
          <w:sz w:val="24"/>
          <w:szCs w:val="24"/>
        </w:rPr>
        <w:t>Conclusion</w:t>
      </w:r>
    </w:p>
    <w:p w14:paraId="5FEF8E03" w14:textId="0528D980" w:rsidR="00D307FD" w:rsidRDefault="00D307FD" w:rsidP="0041360E">
      <w:pPr>
        <w:jc w:val="both"/>
        <w:rPr>
          <w:rFonts w:ascii="Times New Roman" w:hAnsi="Times New Roman" w:cs="Times New Roman"/>
          <w:sz w:val="24"/>
          <w:szCs w:val="24"/>
        </w:rPr>
      </w:pPr>
      <w:r>
        <w:rPr>
          <w:rFonts w:ascii="Times New Roman" w:hAnsi="Times New Roman" w:cs="Times New Roman"/>
          <w:sz w:val="24"/>
          <w:szCs w:val="24"/>
        </w:rPr>
        <w:t>Vital steps have been taken over the years in respect of measures aimed at facilitating transparency in the legislative processes at supra national level – as well as engaging different interest groups in consultative processes.</w:t>
      </w:r>
    </w:p>
    <w:p w14:paraId="59793080" w14:textId="6EE0476D" w:rsidR="00281FD7" w:rsidRDefault="00D307FD" w:rsidP="0041360E">
      <w:pPr>
        <w:jc w:val="both"/>
        <w:rPr>
          <w:rFonts w:ascii="Times New Roman" w:hAnsi="Times New Roman" w:cs="Times New Roman"/>
          <w:sz w:val="24"/>
          <w:szCs w:val="24"/>
        </w:rPr>
      </w:pPr>
      <w:r>
        <w:rPr>
          <w:rFonts w:ascii="Times New Roman" w:hAnsi="Times New Roman" w:cs="Times New Roman"/>
          <w:sz w:val="24"/>
          <w:szCs w:val="24"/>
        </w:rPr>
        <w:t xml:space="preserve">The need </w:t>
      </w:r>
      <w:r w:rsidR="00281FD7">
        <w:rPr>
          <w:rFonts w:ascii="Times New Roman" w:hAnsi="Times New Roman" w:cs="Times New Roman"/>
          <w:sz w:val="24"/>
          <w:szCs w:val="24"/>
        </w:rPr>
        <w:t>to adapt to consumer preferences – particularly ultimate users of information, products and services is evidenced by sophisticated medium and platforms which have been designed by multinational corporations as a means of gaining greater market shares whilst reflecting a move from the traditional focus placed on products – rather than consumers.</w:t>
      </w:r>
    </w:p>
    <w:p w14:paraId="41AE3A51" w14:textId="52FF0F39" w:rsidR="00281FD7" w:rsidRDefault="00281FD7" w:rsidP="0041360E">
      <w:pPr>
        <w:jc w:val="both"/>
        <w:rPr>
          <w:rFonts w:ascii="Times New Roman" w:hAnsi="Times New Roman" w:cs="Times New Roman"/>
          <w:sz w:val="24"/>
          <w:szCs w:val="24"/>
        </w:rPr>
      </w:pPr>
      <w:r>
        <w:rPr>
          <w:rFonts w:ascii="Times New Roman" w:hAnsi="Times New Roman" w:cs="Times New Roman"/>
          <w:sz w:val="24"/>
          <w:szCs w:val="24"/>
        </w:rPr>
        <w:t>In this same vein the needs and preferences of citizens should constitute the focal point of legislative outputs and documents of consultative and legislative processes. Climate change – as well as organizational cultures, coupled with the impact and influences of information technology should be reflected in legislation in order to adapt to challenges which the economic climate may present as it continually evolves.</w:t>
      </w:r>
    </w:p>
    <w:p w14:paraId="1DF7DF7E" w14:textId="7B37A710" w:rsidR="00281FD7" w:rsidRDefault="00281FD7" w:rsidP="0041360E">
      <w:pPr>
        <w:jc w:val="both"/>
        <w:rPr>
          <w:rFonts w:ascii="Times New Roman" w:hAnsi="Times New Roman" w:cs="Times New Roman"/>
          <w:sz w:val="24"/>
          <w:szCs w:val="24"/>
        </w:rPr>
      </w:pPr>
      <w:r>
        <w:rPr>
          <w:rFonts w:ascii="Times New Roman" w:hAnsi="Times New Roman" w:cs="Times New Roman"/>
          <w:sz w:val="24"/>
          <w:szCs w:val="24"/>
        </w:rPr>
        <w:t>It is increasingly being acknowledge</w:t>
      </w:r>
      <w:r w:rsidR="00134DB2">
        <w:rPr>
          <w:rFonts w:ascii="Times New Roman" w:hAnsi="Times New Roman" w:cs="Times New Roman"/>
          <w:sz w:val="24"/>
          <w:szCs w:val="24"/>
        </w:rPr>
        <w:t>d</w:t>
      </w:r>
      <w:r>
        <w:rPr>
          <w:rFonts w:ascii="Times New Roman" w:hAnsi="Times New Roman" w:cs="Times New Roman"/>
          <w:sz w:val="24"/>
          <w:szCs w:val="24"/>
        </w:rPr>
        <w:t xml:space="preserve"> that the economy of any member state embraces the preservation of its cultures, its natural resources, as well as intellectual and human capital. Where events occur – such events immensely impacting and resulting in the depletion and migration of human knowledge, capital and investment, then there should </w:t>
      </w:r>
      <w:proofErr w:type="gramStart"/>
      <w:r>
        <w:rPr>
          <w:rFonts w:ascii="Times New Roman" w:hAnsi="Times New Roman" w:cs="Times New Roman"/>
          <w:sz w:val="24"/>
          <w:szCs w:val="24"/>
        </w:rPr>
        <w:t>definitely be</w:t>
      </w:r>
      <w:proofErr w:type="gramEnd"/>
      <w:r>
        <w:rPr>
          <w:rFonts w:ascii="Times New Roman" w:hAnsi="Times New Roman" w:cs="Times New Roman"/>
          <w:sz w:val="24"/>
          <w:szCs w:val="24"/>
        </w:rPr>
        <w:t xml:space="preserve"> cause for economic concern as well as the need to retain vital human knowledge, expertise – a</w:t>
      </w:r>
      <w:r w:rsidR="00426A9C">
        <w:rPr>
          <w:rFonts w:ascii="Times New Roman" w:hAnsi="Times New Roman" w:cs="Times New Roman"/>
          <w:sz w:val="24"/>
          <w:szCs w:val="24"/>
        </w:rPr>
        <w:t>nd</w:t>
      </w:r>
      <w:r>
        <w:rPr>
          <w:rFonts w:ascii="Times New Roman" w:hAnsi="Times New Roman" w:cs="Times New Roman"/>
          <w:sz w:val="24"/>
          <w:szCs w:val="24"/>
        </w:rPr>
        <w:t xml:space="preserve"> developing such potential.</w:t>
      </w:r>
    </w:p>
    <w:p w14:paraId="31956F88" w14:textId="060C1FA6" w:rsidR="00281FD7" w:rsidRDefault="00281FD7" w:rsidP="0041360E">
      <w:pPr>
        <w:jc w:val="both"/>
        <w:rPr>
          <w:rFonts w:ascii="Times New Roman" w:hAnsi="Times New Roman" w:cs="Times New Roman"/>
          <w:sz w:val="24"/>
          <w:szCs w:val="24"/>
        </w:rPr>
      </w:pPr>
      <w:r>
        <w:rPr>
          <w:rFonts w:ascii="Times New Roman" w:hAnsi="Times New Roman" w:cs="Times New Roman"/>
          <w:sz w:val="24"/>
          <w:szCs w:val="24"/>
        </w:rPr>
        <w:t xml:space="preserve">The above could occur to a greater extent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Brexit occurs. Conversely it could also happen if Brexit does not take place. For such reasons, it is vital that consequences of a decision are to a greater extent, understood before such decisions are fully or even partial implemented.</w:t>
      </w:r>
    </w:p>
    <w:p w14:paraId="5A5B1321" w14:textId="49344A95" w:rsidR="005C7236" w:rsidRDefault="005C7236" w:rsidP="0041360E">
      <w:pPr>
        <w:jc w:val="both"/>
        <w:rPr>
          <w:rFonts w:ascii="Times New Roman" w:hAnsi="Times New Roman" w:cs="Times New Roman"/>
          <w:sz w:val="24"/>
          <w:szCs w:val="24"/>
        </w:rPr>
      </w:pPr>
    </w:p>
    <w:p w14:paraId="761E1D74" w14:textId="7C5CD77C" w:rsidR="003D783F" w:rsidRDefault="003D783F" w:rsidP="0041360E">
      <w:pPr>
        <w:jc w:val="both"/>
        <w:rPr>
          <w:rFonts w:ascii="Times New Roman" w:hAnsi="Times New Roman" w:cs="Times New Roman"/>
          <w:sz w:val="24"/>
          <w:szCs w:val="24"/>
        </w:rPr>
      </w:pPr>
    </w:p>
    <w:p w14:paraId="10C3A311" w14:textId="77777777" w:rsidR="003D783F" w:rsidRDefault="003D783F" w:rsidP="0041360E">
      <w:pPr>
        <w:jc w:val="both"/>
        <w:rPr>
          <w:rFonts w:ascii="Times New Roman" w:hAnsi="Times New Roman" w:cs="Times New Roman"/>
          <w:sz w:val="24"/>
          <w:szCs w:val="24"/>
        </w:rPr>
      </w:pPr>
      <w:bookmarkStart w:id="0" w:name="_GoBack"/>
      <w:bookmarkEnd w:id="0"/>
    </w:p>
    <w:p w14:paraId="3683DF0F" w14:textId="2A1CD7F0" w:rsidR="00493E65" w:rsidRPr="009E503C" w:rsidRDefault="00493E65" w:rsidP="0041360E">
      <w:pPr>
        <w:jc w:val="both"/>
        <w:rPr>
          <w:rFonts w:ascii="Times New Roman" w:hAnsi="Times New Roman" w:cs="Times New Roman"/>
          <w:b/>
          <w:sz w:val="24"/>
          <w:szCs w:val="24"/>
        </w:rPr>
      </w:pPr>
      <w:r w:rsidRPr="009E503C">
        <w:rPr>
          <w:rFonts w:ascii="Times New Roman" w:hAnsi="Times New Roman" w:cs="Times New Roman"/>
          <w:b/>
          <w:sz w:val="24"/>
          <w:szCs w:val="24"/>
        </w:rPr>
        <w:t>References</w:t>
      </w:r>
    </w:p>
    <w:p w14:paraId="167BFDED" w14:textId="177F9D6C" w:rsidR="009E503C" w:rsidRPr="009E503C" w:rsidRDefault="009E503C" w:rsidP="0041360E">
      <w:pPr>
        <w:jc w:val="both"/>
        <w:rPr>
          <w:rFonts w:ascii="Times New Roman" w:hAnsi="Times New Roman" w:cs="Times New Roman"/>
          <w:sz w:val="24"/>
          <w:szCs w:val="24"/>
        </w:rPr>
      </w:pPr>
      <w:r w:rsidRPr="009E503C">
        <w:rPr>
          <w:rFonts w:ascii="Times New Roman" w:hAnsi="Times New Roman" w:cs="Times New Roman"/>
          <w:sz w:val="24"/>
          <w:szCs w:val="24"/>
        </w:rPr>
        <w:t xml:space="preserve">Alexander K (2018) The UK’s third-country status following Brexit: post-Brexit models, third-country equivalence and Switzerland. In: Alexander K, Barnard C, </w:t>
      </w:r>
      <w:proofErr w:type="spellStart"/>
      <w:r w:rsidRPr="009E503C">
        <w:rPr>
          <w:rFonts w:ascii="Times New Roman" w:hAnsi="Times New Roman" w:cs="Times New Roman"/>
          <w:sz w:val="24"/>
          <w:szCs w:val="24"/>
        </w:rPr>
        <w:t>Ferran</w:t>
      </w:r>
      <w:proofErr w:type="spellEnd"/>
      <w:r w:rsidRPr="009E503C">
        <w:rPr>
          <w:rFonts w:ascii="Times New Roman" w:hAnsi="Times New Roman" w:cs="Times New Roman"/>
          <w:sz w:val="24"/>
          <w:szCs w:val="24"/>
        </w:rPr>
        <w:t xml:space="preserve"> E, Lang A, Moloney N (eds) Brexit and financial services—law and policy. Bloomsbury, Oxford, pp 115–154</w:t>
      </w:r>
    </w:p>
    <w:p w14:paraId="014930FB" w14:textId="4C3433C3" w:rsidR="00EC1E6B" w:rsidRPr="009E503C" w:rsidRDefault="00EC1E6B" w:rsidP="0041360E">
      <w:pPr>
        <w:jc w:val="both"/>
        <w:rPr>
          <w:rFonts w:ascii="Times New Roman" w:hAnsi="Times New Roman" w:cs="Times New Roman"/>
          <w:sz w:val="24"/>
          <w:szCs w:val="24"/>
        </w:rPr>
      </w:pPr>
      <w:r w:rsidRPr="009E503C">
        <w:rPr>
          <w:rFonts w:ascii="Times New Roman" w:hAnsi="Times New Roman" w:cs="Times New Roman"/>
          <w:sz w:val="24"/>
          <w:szCs w:val="24"/>
        </w:rPr>
        <w:t xml:space="preserve">Barnard C (2018) The UK financial market: free movement of persons. In: Alexander K, Barnard C, </w:t>
      </w:r>
      <w:proofErr w:type="spellStart"/>
      <w:r w:rsidRPr="009E503C">
        <w:rPr>
          <w:rFonts w:ascii="Times New Roman" w:hAnsi="Times New Roman" w:cs="Times New Roman"/>
          <w:sz w:val="24"/>
          <w:szCs w:val="24"/>
        </w:rPr>
        <w:t>Ferran</w:t>
      </w:r>
      <w:proofErr w:type="spellEnd"/>
      <w:r w:rsidRPr="009E503C">
        <w:rPr>
          <w:rFonts w:ascii="Times New Roman" w:hAnsi="Times New Roman" w:cs="Times New Roman"/>
          <w:sz w:val="24"/>
          <w:szCs w:val="24"/>
        </w:rPr>
        <w:t xml:space="preserve"> E, Lang A, Moloney N (eds) Brexit and financial services—law and policy. Bloomsbury, Oxford, pp 39–60</w:t>
      </w:r>
    </w:p>
    <w:p w14:paraId="723095CE" w14:textId="77777777" w:rsidR="009E503C" w:rsidRPr="009E503C" w:rsidRDefault="009E503C" w:rsidP="0041360E">
      <w:pPr>
        <w:jc w:val="both"/>
        <w:rPr>
          <w:rFonts w:ascii="Times New Roman" w:hAnsi="Times New Roman" w:cs="Times New Roman"/>
          <w:sz w:val="24"/>
          <w:szCs w:val="24"/>
        </w:rPr>
      </w:pPr>
      <w:r w:rsidRPr="009E503C">
        <w:rPr>
          <w:rFonts w:ascii="Times New Roman" w:hAnsi="Times New Roman" w:cs="Times New Roman"/>
          <w:sz w:val="24"/>
          <w:szCs w:val="24"/>
        </w:rPr>
        <w:t xml:space="preserve">Berger, H. and </w:t>
      </w:r>
      <w:proofErr w:type="spellStart"/>
      <w:r w:rsidRPr="009E503C">
        <w:rPr>
          <w:rFonts w:ascii="Times New Roman" w:hAnsi="Times New Roman" w:cs="Times New Roman"/>
          <w:sz w:val="24"/>
          <w:szCs w:val="24"/>
        </w:rPr>
        <w:t>Badenhoop</w:t>
      </w:r>
      <w:proofErr w:type="spellEnd"/>
      <w:r w:rsidRPr="009E503C">
        <w:rPr>
          <w:rFonts w:ascii="Times New Roman" w:hAnsi="Times New Roman" w:cs="Times New Roman"/>
          <w:sz w:val="24"/>
          <w:szCs w:val="24"/>
        </w:rPr>
        <w:t xml:space="preserve">, N. “Financial Services and Brexit: Navigating Towards Future Market Access”, European Business Organization Law Review (2018) 19:679–714 </w:t>
      </w:r>
      <w:hyperlink r:id="rId8" w:history="1">
        <w:r w:rsidRPr="009E503C">
          <w:rPr>
            <w:rStyle w:val="Hyperlink"/>
            <w:rFonts w:ascii="Times New Roman" w:hAnsi="Times New Roman" w:cs="Times New Roman"/>
            <w:sz w:val="24"/>
            <w:szCs w:val="24"/>
          </w:rPr>
          <w:t>https://doi.org/10.1007/s40804-018-0124-4</w:t>
        </w:r>
      </w:hyperlink>
      <w:r w:rsidRPr="009E503C">
        <w:rPr>
          <w:rFonts w:ascii="Times New Roman" w:hAnsi="Times New Roman" w:cs="Times New Roman"/>
          <w:sz w:val="24"/>
          <w:szCs w:val="24"/>
        </w:rPr>
        <w:t xml:space="preserve">, </w:t>
      </w:r>
    </w:p>
    <w:p w14:paraId="0FA5E4BE" w14:textId="6F6932E1" w:rsidR="009E503C" w:rsidRDefault="009E503C" w:rsidP="0041360E">
      <w:pPr>
        <w:jc w:val="both"/>
        <w:rPr>
          <w:rFonts w:ascii="Times New Roman" w:hAnsi="Times New Roman" w:cs="Times New Roman"/>
          <w:sz w:val="24"/>
          <w:szCs w:val="24"/>
        </w:rPr>
      </w:pPr>
      <w:r w:rsidRPr="009E503C">
        <w:rPr>
          <w:rFonts w:ascii="Times New Roman" w:hAnsi="Times New Roman" w:cs="Times New Roman"/>
          <w:sz w:val="24"/>
          <w:szCs w:val="24"/>
        </w:rPr>
        <w:t xml:space="preserve">Berger P, Van den </w:t>
      </w:r>
      <w:proofErr w:type="spellStart"/>
      <w:r w:rsidRPr="009E503C">
        <w:rPr>
          <w:rFonts w:ascii="Times New Roman" w:hAnsi="Times New Roman" w:cs="Times New Roman"/>
          <w:sz w:val="24"/>
          <w:szCs w:val="24"/>
        </w:rPr>
        <w:t>Broeke</w:t>
      </w:r>
      <w:proofErr w:type="spellEnd"/>
      <w:r w:rsidRPr="009E503C">
        <w:rPr>
          <w:rFonts w:ascii="Times New Roman" w:hAnsi="Times New Roman" w:cs="Times New Roman"/>
          <w:sz w:val="24"/>
          <w:szCs w:val="24"/>
        </w:rPr>
        <w:t xml:space="preserve"> O (2017) Enter Brexit: what is the impact on the financial services </w:t>
      </w:r>
      <w:proofErr w:type="spellStart"/>
      <w:r w:rsidRPr="009E503C">
        <w:rPr>
          <w:rFonts w:ascii="Times New Roman" w:hAnsi="Times New Roman" w:cs="Times New Roman"/>
          <w:sz w:val="24"/>
          <w:szCs w:val="24"/>
        </w:rPr>
        <w:t>Fndustry</w:t>
      </w:r>
      <w:proofErr w:type="spellEnd"/>
      <w:r w:rsidRPr="009E503C">
        <w:rPr>
          <w:rFonts w:ascii="Times New Roman" w:hAnsi="Times New Roman" w:cs="Times New Roman"/>
          <w:sz w:val="24"/>
          <w:szCs w:val="24"/>
        </w:rPr>
        <w:t>? Int Comp Comm Law Rev 28:209–216</w:t>
      </w:r>
    </w:p>
    <w:p w14:paraId="31D1CF23" w14:textId="15E53E9C" w:rsidR="002A47A6" w:rsidRPr="002A47A6" w:rsidRDefault="002A47A6" w:rsidP="0041360E">
      <w:pPr>
        <w:jc w:val="both"/>
        <w:rPr>
          <w:rFonts w:ascii="Times New Roman" w:hAnsi="Times New Roman" w:cs="Times New Roman"/>
          <w:sz w:val="24"/>
          <w:szCs w:val="24"/>
        </w:rPr>
      </w:pPr>
      <w:proofErr w:type="spellStart"/>
      <w:r w:rsidRPr="002A47A6">
        <w:rPr>
          <w:rFonts w:ascii="Times New Roman" w:hAnsi="Times New Roman" w:cs="Times New Roman"/>
          <w:color w:val="000000" w:themeColor="text1"/>
          <w:sz w:val="24"/>
          <w:szCs w:val="24"/>
        </w:rPr>
        <w:t>Circolo</w:t>
      </w:r>
      <w:proofErr w:type="spellEnd"/>
      <w:r w:rsidRPr="002A47A6">
        <w:rPr>
          <w:rFonts w:ascii="Times New Roman" w:hAnsi="Times New Roman" w:cs="Times New Roman"/>
          <w:color w:val="000000" w:themeColor="text1"/>
          <w:sz w:val="24"/>
          <w:szCs w:val="24"/>
        </w:rPr>
        <w:t xml:space="preserve">, A., </w:t>
      </w:r>
      <w:proofErr w:type="spellStart"/>
      <w:r w:rsidRPr="002A47A6">
        <w:rPr>
          <w:rFonts w:ascii="Times New Roman" w:eastAsia="Times New Roman" w:hAnsi="Times New Roman" w:cs="Times New Roman"/>
          <w:color w:val="000000" w:themeColor="text1"/>
          <w:sz w:val="24"/>
          <w:szCs w:val="24"/>
        </w:rPr>
        <w:t>Hamuľák</w:t>
      </w:r>
      <w:proofErr w:type="spellEnd"/>
      <w:r w:rsidRPr="002A47A6">
        <w:rPr>
          <w:rFonts w:ascii="Times New Roman" w:eastAsia="Times New Roman" w:hAnsi="Times New Roman" w:cs="Times New Roman"/>
          <w:color w:val="000000" w:themeColor="text1"/>
          <w:sz w:val="24"/>
          <w:szCs w:val="24"/>
        </w:rPr>
        <w:t xml:space="preserve">, O. and </w:t>
      </w:r>
      <w:proofErr w:type="spellStart"/>
      <w:r w:rsidRPr="002A47A6">
        <w:rPr>
          <w:rFonts w:ascii="Times New Roman" w:eastAsia="Times New Roman" w:hAnsi="Times New Roman" w:cs="Times New Roman"/>
          <w:color w:val="000000" w:themeColor="text1"/>
          <w:sz w:val="24"/>
          <w:szCs w:val="24"/>
        </w:rPr>
        <w:t>Blažo</w:t>
      </w:r>
      <w:proofErr w:type="spellEnd"/>
      <w:r w:rsidRPr="002A47A6">
        <w:rPr>
          <w:rFonts w:ascii="Times New Roman" w:eastAsia="Times New Roman" w:hAnsi="Times New Roman" w:cs="Times New Roman"/>
          <w:color w:val="000000" w:themeColor="text1"/>
          <w:sz w:val="24"/>
          <w:szCs w:val="24"/>
        </w:rPr>
        <w:t>, O</w:t>
      </w:r>
      <w:r w:rsidRPr="002A47A6">
        <w:rPr>
          <w:rFonts w:ascii="Times New Roman" w:hAnsi="Times New Roman" w:cs="Times New Roman"/>
          <w:color w:val="000000" w:themeColor="text1"/>
          <w:sz w:val="24"/>
          <w:szCs w:val="24"/>
        </w:rPr>
        <w:t>, (2018). “</w:t>
      </w:r>
      <w:r w:rsidRPr="002A47A6">
        <w:rPr>
          <w:rFonts w:ascii="Times New Roman" w:eastAsia="Times New Roman" w:hAnsi="Times New Roman" w:cs="Times New Roman"/>
          <w:color w:val="000000" w:themeColor="text1"/>
          <w:spacing w:val="2"/>
          <w:kern w:val="36"/>
          <w:sz w:val="24"/>
          <w:szCs w:val="24"/>
          <w:lang w:val="en"/>
        </w:rPr>
        <w:t>Article 50 of the Treaty on European Union: How to Understand the ‘Right’ of the Member State to Withdraw the European Union?”</w:t>
      </w:r>
    </w:p>
    <w:p w14:paraId="07D4A858" w14:textId="0C1F6DFF" w:rsidR="002A47A6" w:rsidRPr="00F46EE8" w:rsidRDefault="00F46EE8" w:rsidP="0041360E">
      <w:pPr>
        <w:jc w:val="both"/>
        <w:rPr>
          <w:rFonts w:ascii="Times New Roman" w:hAnsi="Times New Roman" w:cs="Times New Roman"/>
          <w:sz w:val="24"/>
          <w:szCs w:val="24"/>
        </w:rPr>
      </w:pPr>
      <w:r w:rsidRPr="00F46EE8">
        <w:rPr>
          <w:rFonts w:ascii="Times New Roman" w:hAnsi="Times New Roman" w:cs="Times New Roman"/>
          <w:color w:val="000000" w:themeColor="text1"/>
          <w:sz w:val="24"/>
          <w:szCs w:val="24"/>
        </w:rPr>
        <w:t xml:space="preserve">Dialer, D, and Richter, M. (2018), </w:t>
      </w:r>
      <w:r w:rsidRPr="00F46EE8">
        <w:rPr>
          <w:rFonts w:ascii="Times New Roman" w:eastAsia="Times New Roman" w:hAnsi="Times New Roman" w:cs="Times New Roman"/>
          <w:color w:val="000000" w:themeColor="text1"/>
          <w:spacing w:val="2"/>
          <w:kern w:val="36"/>
          <w:sz w:val="24"/>
          <w:szCs w:val="24"/>
          <w:lang w:val="en"/>
        </w:rPr>
        <w:t>Lobbying in Europe: Professionals, Politicians, and Institutions Under General Suspicion?</w:t>
      </w:r>
    </w:p>
    <w:p w14:paraId="47C77F2D" w14:textId="169FB44D" w:rsidR="00493E65" w:rsidRPr="009E503C" w:rsidRDefault="00493E65" w:rsidP="0041360E">
      <w:pPr>
        <w:jc w:val="both"/>
        <w:rPr>
          <w:rFonts w:ascii="Times New Roman" w:hAnsi="Times New Roman" w:cs="Times New Roman"/>
          <w:sz w:val="24"/>
          <w:szCs w:val="24"/>
        </w:rPr>
      </w:pPr>
      <w:r w:rsidRPr="009E503C">
        <w:rPr>
          <w:rFonts w:ascii="Times New Roman" w:hAnsi="Times New Roman" w:cs="Times New Roman"/>
          <w:sz w:val="24"/>
          <w:szCs w:val="24"/>
        </w:rPr>
        <w:t>EEA Agreement, see particularly Articles 8-46</w:t>
      </w:r>
    </w:p>
    <w:p w14:paraId="3FC32B20" w14:textId="70662A03" w:rsidR="00493E65" w:rsidRPr="009E503C" w:rsidRDefault="00493E65" w:rsidP="0041360E">
      <w:pPr>
        <w:jc w:val="both"/>
        <w:rPr>
          <w:rFonts w:ascii="Times New Roman" w:hAnsi="Times New Roman" w:cs="Times New Roman"/>
          <w:sz w:val="24"/>
          <w:szCs w:val="24"/>
        </w:rPr>
      </w:pPr>
      <w:proofErr w:type="spellStart"/>
      <w:r w:rsidRPr="009E503C">
        <w:rPr>
          <w:rFonts w:ascii="Times New Roman" w:eastAsia="Times New Roman" w:hAnsi="Times New Roman" w:cs="Times New Roman"/>
          <w:spacing w:val="1"/>
          <w:sz w:val="24"/>
          <w:szCs w:val="24"/>
        </w:rPr>
        <w:t>Eising</w:t>
      </w:r>
      <w:proofErr w:type="spellEnd"/>
      <w:r w:rsidRPr="009E503C">
        <w:rPr>
          <w:rFonts w:ascii="Times New Roman" w:eastAsia="Times New Roman" w:hAnsi="Times New Roman" w:cs="Times New Roman"/>
          <w:spacing w:val="1"/>
          <w:sz w:val="24"/>
          <w:szCs w:val="24"/>
        </w:rPr>
        <w:t>, R. (2007). Institutional context, organizational resources and strategic choices: Explaining inter</w:t>
      </w:r>
      <w:r w:rsidR="002D386A" w:rsidRPr="009E503C">
        <w:rPr>
          <w:rFonts w:ascii="Times New Roman" w:eastAsia="Times New Roman" w:hAnsi="Times New Roman" w:cs="Times New Roman"/>
          <w:spacing w:val="1"/>
          <w:sz w:val="24"/>
          <w:szCs w:val="24"/>
        </w:rPr>
        <w:t>e</w:t>
      </w:r>
      <w:r w:rsidRPr="009E503C">
        <w:rPr>
          <w:rFonts w:ascii="Times New Roman" w:eastAsia="Times New Roman" w:hAnsi="Times New Roman" w:cs="Times New Roman"/>
          <w:spacing w:val="1"/>
          <w:sz w:val="24"/>
          <w:szCs w:val="24"/>
        </w:rPr>
        <w:t>st group access in the European Union. </w:t>
      </w:r>
      <w:r w:rsidRPr="009E503C">
        <w:rPr>
          <w:rFonts w:ascii="Times New Roman" w:eastAsia="Times New Roman" w:hAnsi="Times New Roman" w:cs="Times New Roman"/>
          <w:i/>
          <w:iCs/>
          <w:spacing w:val="1"/>
          <w:sz w:val="24"/>
          <w:szCs w:val="24"/>
        </w:rPr>
        <w:t>European Union Politics, 8</w:t>
      </w:r>
      <w:r w:rsidRPr="009E503C">
        <w:rPr>
          <w:rFonts w:ascii="Times New Roman" w:eastAsia="Times New Roman" w:hAnsi="Times New Roman" w:cs="Times New Roman"/>
          <w:spacing w:val="1"/>
          <w:sz w:val="24"/>
          <w:szCs w:val="24"/>
        </w:rPr>
        <w:t>(3), 329–362.</w:t>
      </w:r>
    </w:p>
    <w:p w14:paraId="50B233DE" w14:textId="54F521E5" w:rsidR="00EC1E6B" w:rsidRPr="009E503C" w:rsidRDefault="008572A6" w:rsidP="008572A6">
      <w:pPr>
        <w:spacing w:before="240" w:after="240" w:line="240" w:lineRule="auto"/>
        <w:rPr>
          <w:rFonts w:ascii="Times New Roman" w:eastAsia="Times New Roman" w:hAnsi="Times New Roman" w:cs="Times New Roman"/>
          <w:color w:val="4500A7"/>
          <w:spacing w:val="1"/>
          <w:sz w:val="24"/>
          <w:szCs w:val="24"/>
          <w:u w:val="single"/>
        </w:rPr>
      </w:pPr>
      <w:r w:rsidRPr="009E503C">
        <w:rPr>
          <w:rFonts w:ascii="Times New Roman" w:eastAsia="Times New Roman" w:hAnsi="Times New Roman" w:cs="Times New Roman"/>
          <w:spacing w:val="1"/>
          <w:sz w:val="24"/>
          <w:szCs w:val="24"/>
        </w:rPr>
        <w:t>European Parliament. (2017). </w:t>
      </w:r>
      <w:r w:rsidRPr="009E503C">
        <w:rPr>
          <w:rFonts w:ascii="Times New Roman" w:eastAsia="Times New Roman" w:hAnsi="Times New Roman" w:cs="Times New Roman"/>
          <w:i/>
          <w:iCs/>
          <w:spacing w:val="1"/>
          <w:sz w:val="24"/>
          <w:szCs w:val="24"/>
        </w:rPr>
        <w:t>Draft Report on budgetary control of financing NGOs from the EU budget (2015/2345(INI))</w:t>
      </w:r>
      <w:r w:rsidRPr="009E503C">
        <w:rPr>
          <w:rFonts w:ascii="Times New Roman" w:eastAsia="Times New Roman" w:hAnsi="Times New Roman" w:cs="Times New Roman"/>
          <w:spacing w:val="1"/>
          <w:sz w:val="24"/>
          <w:szCs w:val="24"/>
        </w:rPr>
        <w:t>. Committee on Budgetary Control.</w:t>
      </w:r>
      <w:r w:rsidR="00493E65" w:rsidRPr="009E503C">
        <w:rPr>
          <w:rFonts w:ascii="Times New Roman" w:eastAsia="Times New Roman" w:hAnsi="Times New Roman" w:cs="Times New Roman"/>
          <w:color w:val="4500A7"/>
          <w:spacing w:val="1"/>
          <w:sz w:val="24"/>
          <w:szCs w:val="24"/>
          <w:u w:val="single"/>
        </w:rPr>
        <w:t xml:space="preserve"> </w:t>
      </w:r>
    </w:p>
    <w:p w14:paraId="3AB7C7DE" w14:textId="775DEBA3" w:rsidR="00117DFC" w:rsidRPr="009E503C" w:rsidRDefault="00493E65" w:rsidP="004E4174">
      <w:pPr>
        <w:spacing w:before="240" w:after="240" w:line="240" w:lineRule="auto"/>
        <w:rPr>
          <w:rFonts w:ascii="Times New Roman" w:eastAsia="Times New Roman" w:hAnsi="Times New Roman" w:cs="Times New Roman"/>
          <w:spacing w:val="1"/>
          <w:sz w:val="24"/>
          <w:szCs w:val="24"/>
        </w:rPr>
      </w:pPr>
      <w:proofErr w:type="spellStart"/>
      <w:r w:rsidRPr="009E503C">
        <w:rPr>
          <w:rFonts w:ascii="Times New Roman" w:eastAsia="Times New Roman" w:hAnsi="Times New Roman" w:cs="Times New Roman"/>
          <w:spacing w:val="1"/>
          <w:sz w:val="24"/>
          <w:szCs w:val="24"/>
        </w:rPr>
        <w:t>Klüver</w:t>
      </w:r>
      <w:proofErr w:type="spellEnd"/>
      <w:r w:rsidRPr="009E503C">
        <w:rPr>
          <w:rFonts w:ascii="Times New Roman" w:eastAsia="Times New Roman" w:hAnsi="Times New Roman" w:cs="Times New Roman"/>
          <w:spacing w:val="1"/>
          <w:sz w:val="24"/>
          <w:szCs w:val="24"/>
        </w:rPr>
        <w:t>, H., Braun, C., &amp; Beyers, J. (2015). Legislative lobbying in context: Towards a conceptual framework of interest group lobbying in the European Union. </w:t>
      </w:r>
      <w:r w:rsidRPr="009E503C">
        <w:rPr>
          <w:rFonts w:ascii="Times New Roman" w:eastAsia="Times New Roman" w:hAnsi="Times New Roman" w:cs="Times New Roman"/>
          <w:i/>
          <w:iCs/>
          <w:spacing w:val="1"/>
          <w:sz w:val="24"/>
          <w:szCs w:val="24"/>
        </w:rPr>
        <w:t>Journal of European Public Policy, 22</w:t>
      </w:r>
      <w:r w:rsidRPr="009E503C">
        <w:rPr>
          <w:rFonts w:ascii="Times New Roman" w:eastAsia="Times New Roman" w:hAnsi="Times New Roman" w:cs="Times New Roman"/>
          <w:spacing w:val="1"/>
          <w:sz w:val="24"/>
          <w:szCs w:val="24"/>
        </w:rPr>
        <w:t>(4), 447–461.  </w:t>
      </w:r>
      <w:hyperlink r:id="rId9" w:tgtFrame="_blank" w:history="1">
        <w:r w:rsidRPr="009E503C">
          <w:rPr>
            <w:rFonts w:ascii="Times New Roman" w:eastAsia="Times New Roman" w:hAnsi="Times New Roman" w:cs="Times New Roman"/>
            <w:color w:val="4500A7"/>
            <w:spacing w:val="1"/>
            <w:sz w:val="24"/>
            <w:szCs w:val="24"/>
            <w:u w:val="single"/>
          </w:rPr>
          <w:t>https://doi.org/10.1080/13501763.2015.1008792</w:t>
        </w:r>
      </w:hyperlink>
    </w:p>
    <w:p w14:paraId="5AFAF4B8" w14:textId="4DECE585" w:rsidR="00CA4D50" w:rsidRDefault="00CA4D50" w:rsidP="00DA15C6">
      <w:pPr>
        <w:pStyle w:val="NormalWeb"/>
        <w:shd w:val="clear" w:color="auto" w:fill="FFFFFF"/>
        <w:spacing w:before="0" w:beforeAutospacing="0" w:after="0" w:afterAutospacing="0" w:line="480" w:lineRule="atLeast"/>
        <w:rPr>
          <w:spacing w:val="1"/>
        </w:rPr>
      </w:pPr>
      <w:r w:rsidRPr="009E503C">
        <w:rPr>
          <w:spacing w:val="1"/>
        </w:rPr>
        <w:t xml:space="preserve">Ojo, </w:t>
      </w:r>
      <w:proofErr w:type="spellStart"/>
      <w:r w:rsidRPr="009E503C">
        <w:rPr>
          <w:spacing w:val="1"/>
        </w:rPr>
        <w:t>M.and</w:t>
      </w:r>
      <w:proofErr w:type="spellEnd"/>
      <w:r w:rsidRPr="009E503C">
        <w:rPr>
          <w:spacing w:val="1"/>
        </w:rPr>
        <w:t xml:space="preserve"> Serrano Caballero, E. (2018). FROM NATURE SWAPS TO DOLPHIN SWAPS The Paris Club, Nature Conservancy and Role of </w:t>
      </w:r>
      <w:proofErr w:type="spellStart"/>
      <w:proofErr w:type="gramStart"/>
      <w:r w:rsidRPr="009E503C">
        <w:rPr>
          <w:spacing w:val="1"/>
        </w:rPr>
        <w:t>Non Governmental</w:t>
      </w:r>
      <w:proofErr w:type="spellEnd"/>
      <w:proofErr w:type="gramEnd"/>
      <w:r w:rsidRPr="009E503C">
        <w:rPr>
          <w:spacing w:val="1"/>
        </w:rPr>
        <w:t xml:space="preserve"> Organizations in Sustainable Development</w:t>
      </w:r>
    </w:p>
    <w:p w14:paraId="142E04B3" w14:textId="77777777" w:rsidR="004E4174" w:rsidRPr="009E503C" w:rsidRDefault="004E4174" w:rsidP="00DA15C6">
      <w:pPr>
        <w:pStyle w:val="NormalWeb"/>
        <w:shd w:val="clear" w:color="auto" w:fill="FFFFFF"/>
        <w:spacing w:before="0" w:beforeAutospacing="0" w:after="0" w:afterAutospacing="0" w:line="480" w:lineRule="atLeast"/>
        <w:rPr>
          <w:spacing w:val="1"/>
        </w:rPr>
      </w:pPr>
    </w:p>
    <w:p w14:paraId="6884E909" w14:textId="4476F149" w:rsidR="004E4174" w:rsidRPr="009E503C" w:rsidRDefault="00DA15C6" w:rsidP="00DA15C6">
      <w:pPr>
        <w:pStyle w:val="NormalWeb"/>
        <w:shd w:val="clear" w:color="auto" w:fill="FFFFFF"/>
        <w:spacing w:before="0" w:beforeAutospacing="0" w:after="0" w:afterAutospacing="0" w:line="480" w:lineRule="atLeast"/>
        <w:rPr>
          <w:color w:val="000000" w:themeColor="text1"/>
        </w:rPr>
      </w:pPr>
      <w:r w:rsidRPr="009E503C">
        <w:rPr>
          <w:spacing w:val="1"/>
        </w:rPr>
        <w:t>Ojo, M (2018).</w:t>
      </w:r>
      <w:r w:rsidRPr="009E503C">
        <w:rPr>
          <w:color w:val="000000" w:themeColor="text1"/>
        </w:rPr>
        <w:t xml:space="preserve"> The </w:t>
      </w:r>
      <w:proofErr w:type="spellStart"/>
      <w:r w:rsidRPr="009E503C">
        <w:rPr>
          <w:color w:val="000000" w:themeColor="text1"/>
        </w:rPr>
        <w:t>Neighbor</w:t>
      </w:r>
      <w:proofErr w:type="spellEnd"/>
      <w:r w:rsidRPr="009E503C">
        <w:rPr>
          <w:color w:val="000000" w:themeColor="text1"/>
        </w:rPr>
        <w:t xml:space="preserve"> Principle, Principal Agent and Stakeholder Theories: Proposed Model to Address Challenges of Digital and Audit Analytics</w:t>
      </w:r>
    </w:p>
    <w:p w14:paraId="5D727635" w14:textId="2D5DD770" w:rsidR="00DA15C6" w:rsidRPr="009E503C" w:rsidRDefault="00DA15C6" w:rsidP="00DA15C6">
      <w:pPr>
        <w:pStyle w:val="NormalWeb"/>
        <w:shd w:val="clear" w:color="auto" w:fill="FFFFFF"/>
        <w:spacing w:before="0" w:beforeAutospacing="0" w:after="0" w:afterAutospacing="0" w:line="480" w:lineRule="atLeast"/>
        <w:rPr>
          <w:color w:val="000000" w:themeColor="text1"/>
        </w:rPr>
      </w:pPr>
      <w:r w:rsidRPr="009E503C">
        <w:rPr>
          <w:spacing w:val="1"/>
        </w:rPr>
        <w:lastRenderedPageBreak/>
        <w:t>Ojo, M (2018).</w:t>
      </w:r>
      <w:r w:rsidRPr="009E503C">
        <w:rPr>
          <w:color w:val="000000" w:themeColor="text1"/>
        </w:rPr>
        <w:t xml:space="preserve"> Critical Audit   Matters: The New Auditing Reporting Model</w:t>
      </w:r>
    </w:p>
    <w:p w14:paraId="0B2DBC47" w14:textId="041EAD0C" w:rsidR="00DA15C6" w:rsidRPr="009E503C" w:rsidRDefault="00DA15C6" w:rsidP="00DA15C6">
      <w:pPr>
        <w:pStyle w:val="NormalWeb"/>
        <w:shd w:val="clear" w:color="auto" w:fill="FFFFFF"/>
        <w:spacing w:before="0" w:beforeAutospacing="0" w:after="0" w:afterAutospacing="0" w:line="480" w:lineRule="atLeast"/>
        <w:rPr>
          <w:color w:val="000000" w:themeColor="text1"/>
        </w:rPr>
      </w:pPr>
      <w:r w:rsidRPr="009E503C">
        <w:rPr>
          <w:spacing w:val="1"/>
        </w:rPr>
        <w:t>Ojo, M (2018).</w:t>
      </w:r>
      <w:r w:rsidRPr="009E503C">
        <w:rPr>
          <w:color w:val="000000" w:themeColor="text1"/>
        </w:rPr>
        <w:t xml:space="preserve"> New Auditing Reporting   Model: The Final Standard ('AS 3101') </w:t>
      </w:r>
    </w:p>
    <w:p w14:paraId="749CAE48" w14:textId="27E1522B" w:rsidR="00DA15C6" w:rsidRPr="009E503C" w:rsidRDefault="00DA15C6" w:rsidP="00DA15C6">
      <w:pPr>
        <w:pStyle w:val="NormalWeb"/>
        <w:shd w:val="clear" w:color="auto" w:fill="FFFFFF"/>
        <w:spacing w:before="0" w:beforeAutospacing="0" w:after="0" w:afterAutospacing="0" w:line="480" w:lineRule="atLeast"/>
        <w:rPr>
          <w:color w:val="000000" w:themeColor="text1"/>
        </w:rPr>
      </w:pPr>
      <w:r w:rsidRPr="009E503C">
        <w:rPr>
          <w:spacing w:val="1"/>
        </w:rPr>
        <w:t>Ojo, M (2018).</w:t>
      </w:r>
      <w:r w:rsidRPr="009E503C">
        <w:rPr>
          <w:color w:val="000000" w:themeColor="text1"/>
        </w:rPr>
        <w:t xml:space="preserve"> Proposed Model to   Address Challenges of Digital and Audit Analytics</w:t>
      </w:r>
    </w:p>
    <w:p w14:paraId="39D6ECBA" w14:textId="426362CE" w:rsidR="00DA15C6" w:rsidRPr="009E503C" w:rsidRDefault="00DA15C6" w:rsidP="00DA15C6">
      <w:pPr>
        <w:pStyle w:val="NormalWeb"/>
        <w:shd w:val="clear" w:color="auto" w:fill="FFFFFF"/>
        <w:spacing w:before="0" w:beforeAutospacing="0" w:after="0" w:afterAutospacing="0" w:line="480" w:lineRule="atLeast"/>
        <w:rPr>
          <w:color w:val="000000" w:themeColor="text1"/>
        </w:rPr>
      </w:pPr>
      <w:r w:rsidRPr="009E503C">
        <w:rPr>
          <w:spacing w:val="1"/>
        </w:rPr>
        <w:t>Ojo, M (2018).</w:t>
      </w:r>
      <w:r w:rsidRPr="009E503C">
        <w:rPr>
          <w:color w:val="000000" w:themeColor="text1"/>
        </w:rPr>
        <w:t xml:space="preserve"> Beyond </w:t>
      </w:r>
      <w:proofErr w:type="gramStart"/>
      <w:r w:rsidRPr="009E503C">
        <w:rPr>
          <w:color w:val="000000" w:themeColor="text1"/>
        </w:rPr>
        <w:t>Reasoning,   </w:t>
      </w:r>
      <w:proofErr w:type="gramEnd"/>
      <w:r w:rsidRPr="009E503C">
        <w:rPr>
          <w:color w:val="000000" w:themeColor="text1"/>
        </w:rPr>
        <w:t>Artificial Intelligence and Data Analytics: Gaming Theories and the Nash   Theory of Equilibrium</w:t>
      </w:r>
    </w:p>
    <w:p w14:paraId="142DAEDC" w14:textId="03847F4A" w:rsidR="00DA15C6" w:rsidRPr="009E503C" w:rsidRDefault="00DA15C6" w:rsidP="00DA15C6">
      <w:pPr>
        <w:pStyle w:val="NormalWeb"/>
        <w:shd w:val="clear" w:color="auto" w:fill="FFFFFF"/>
        <w:spacing w:before="0" w:beforeAutospacing="0" w:after="0" w:afterAutospacing="0" w:line="480" w:lineRule="atLeast"/>
        <w:rPr>
          <w:color w:val="000000" w:themeColor="text1"/>
        </w:rPr>
      </w:pPr>
      <w:r w:rsidRPr="009E503C">
        <w:rPr>
          <w:spacing w:val="1"/>
        </w:rPr>
        <w:t>Ojo, M (2018).</w:t>
      </w:r>
      <w:r w:rsidRPr="009E503C">
        <w:rPr>
          <w:color w:val="000000" w:themeColor="text1"/>
        </w:rPr>
        <w:t xml:space="preserve"> Engaging Major Players in Data Monitoring and Regulation: Cambridge Analytica, the Game Theory and the Nash Theory of Equilibrium</w:t>
      </w:r>
    </w:p>
    <w:p w14:paraId="41EA99BF" w14:textId="77B030E6" w:rsidR="00DA15C6" w:rsidRDefault="00DA15C6" w:rsidP="00DA15C6">
      <w:pPr>
        <w:pStyle w:val="NormalWeb"/>
        <w:shd w:val="clear" w:color="auto" w:fill="FFFFFF"/>
        <w:spacing w:before="0" w:beforeAutospacing="0" w:after="0" w:afterAutospacing="0" w:line="480" w:lineRule="atLeast"/>
        <w:rPr>
          <w:color w:val="000000" w:themeColor="text1"/>
        </w:rPr>
      </w:pPr>
      <w:r w:rsidRPr="009E503C">
        <w:rPr>
          <w:spacing w:val="1"/>
        </w:rPr>
        <w:t>Ojo, M (2018).</w:t>
      </w:r>
      <w:r w:rsidRPr="009E503C">
        <w:rPr>
          <w:color w:val="000000" w:themeColor="text1"/>
        </w:rPr>
        <w:t xml:space="preserve"> Defining and Regulating Virtual Currencies: A Task Solely for Regulators?</w:t>
      </w:r>
    </w:p>
    <w:p w14:paraId="3D50E61C" w14:textId="1A718CDE" w:rsidR="004E4174" w:rsidRDefault="004E4174" w:rsidP="00DA15C6">
      <w:pPr>
        <w:pStyle w:val="NormalWeb"/>
        <w:shd w:val="clear" w:color="auto" w:fill="FFFFFF"/>
        <w:spacing w:before="0" w:beforeAutospacing="0" w:after="0" w:afterAutospacing="0" w:line="480" w:lineRule="atLeast"/>
        <w:rPr>
          <w:rStyle w:val="citationinfo1"/>
          <w:color w:val="000000"/>
          <w:sz w:val="20"/>
          <w:szCs w:val="20"/>
        </w:rPr>
      </w:pPr>
      <w:r w:rsidRPr="004E4174">
        <w:t xml:space="preserve">Ojo, M. </w:t>
      </w:r>
      <w:r w:rsidRPr="004E4174">
        <w:t>(2016).</w:t>
      </w:r>
      <w:hyperlink r:id="rId10" w:tgtFrame="_blank" w:history="1">
        <w:r w:rsidRPr="004E4174">
          <w:rPr>
            <w:rStyle w:val="Hyperlink"/>
            <w:b/>
            <w:color w:val="000000"/>
            <w:sz w:val="20"/>
            <w:szCs w:val="20"/>
            <w:u w:val="none"/>
          </w:rPr>
          <w:t>Why Credit Ratings Serve a Greater Role in Emerging Economies than Industrial Nations: A Comparative Analysis between Family Firms and Concentrated Ownership Structures in South Asia</w:t>
        </w:r>
      </w:hyperlink>
      <w:r w:rsidRPr="004E4174">
        <w:rPr>
          <w:rStyle w:val="nobr1"/>
          <w:color w:val="000000"/>
          <w:sz w:val="20"/>
          <w:szCs w:val="20"/>
        </w:rPr>
        <w:t xml:space="preserve"> </w:t>
      </w:r>
      <w:r w:rsidRPr="004E4174">
        <w:rPr>
          <w:rStyle w:val="citationinfo1"/>
          <w:i w:val="0"/>
          <w:color w:val="000000"/>
          <w:sz w:val="20"/>
          <w:szCs w:val="20"/>
        </w:rPr>
        <w:t>in</w:t>
      </w:r>
      <w:r w:rsidRPr="004E4174">
        <w:rPr>
          <w:rStyle w:val="citationinfo1"/>
          <w:color w:val="000000"/>
          <w:sz w:val="20"/>
          <w:szCs w:val="20"/>
        </w:rPr>
        <w:t xml:space="preserve"> Financial Market Regulations and Legal Challenges in South Asia, IGI Global Amit K. Kashyap (Gujarat National Law University, India) and Anjani Singh </w:t>
      </w:r>
      <w:proofErr w:type="spellStart"/>
      <w:r w:rsidRPr="004E4174">
        <w:rPr>
          <w:rStyle w:val="citationinfo1"/>
          <w:color w:val="000000"/>
          <w:sz w:val="20"/>
          <w:szCs w:val="20"/>
        </w:rPr>
        <w:t>Tomar</w:t>
      </w:r>
      <w:proofErr w:type="spellEnd"/>
      <w:r w:rsidRPr="004E4174">
        <w:rPr>
          <w:rStyle w:val="citationinfo1"/>
          <w:color w:val="000000"/>
          <w:sz w:val="20"/>
          <w:szCs w:val="20"/>
        </w:rPr>
        <w:t xml:space="preserve"> (Gujarat National Law University, India) (eds)  Release Date: April, 2016. Copyright © 2016. 308 pages.</w:t>
      </w:r>
    </w:p>
    <w:p w14:paraId="1135CEBC" w14:textId="468F0274" w:rsidR="004E4174" w:rsidRPr="004E4174" w:rsidRDefault="004E4174" w:rsidP="00DA15C6">
      <w:pPr>
        <w:pStyle w:val="NormalWeb"/>
        <w:shd w:val="clear" w:color="auto" w:fill="FFFFFF"/>
        <w:spacing w:before="0" w:beforeAutospacing="0" w:after="0" w:afterAutospacing="0" w:line="480" w:lineRule="atLeast"/>
        <w:rPr>
          <w:color w:val="000000" w:themeColor="text1"/>
        </w:rPr>
      </w:pPr>
      <w:r w:rsidRPr="004E4174">
        <w:t xml:space="preserve">Ojo, M. </w:t>
      </w:r>
      <w:hyperlink r:id="rId11" w:tgtFrame="_blank" w:history="1">
        <w:r w:rsidRPr="004E4174">
          <w:rPr>
            <w:rStyle w:val="Hyperlink"/>
            <w:b/>
            <w:color w:val="000000"/>
            <w:u w:val="none"/>
          </w:rPr>
          <w:t>E Commerce as a Tool for Resource Expansion: Postal Partnerships, Data Protection Legislation and the Mitigation of Implementation Gaps</w:t>
        </w:r>
      </w:hyperlink>
      <w:r>
        <w:rPr>
          <w:color w:val="000000"/>
          <w:sz w:val="20"/>
          <w:szCs w:val="20"/>
        </w:rPr>
        <w:t xml:space="preserve"> </w:t>
      </w:r>
      <w:r w:rsidRPr="00E65210">
        <w:rPr>
          <w:rStyle w:val="citationinfo1"/>
          <w:i w:val="0"/>
          <w:color w:val="000000"/>
          <w:sz w:val="20"/>
          <w:szCs w:val="20"/>
        </w:rPr>
        <w:t>in</w:t>
      </w:r>
      <w:r w:rsidRPr="00E65210">
        <w:rPr>
          <w:rStyle w:val="citationinfo1"/>
          <w:color w:val="000000"/>
          <w:sz w:val="20"/>
          <w:szCs w:val="20"/>
        </w:rPr>
        <w:t xml:space="preserve"> E-Retailing Challenges and Opportunities in the Global Marketplace </w:t>
      </w:r>
      <w:proofErr w:type="spellStart"/>
      <w:r w:rsidRPr="00E65210">
        <w:rPr>
          <w:rStyle w:val="citationinfo1"/>
          <w:color w:val="000000"/>
          <w:sz w:val="20"/>
          <w:szCs w:val="20"/>
        </w:rPr>
        <w:t>Shailja</w:t>
      </w:r>
      <w:proofErr w:type="spellEnd"/>
      <w:r w:rsidRPr="00E65210">
        <w:rPr>
          <w:rStyle w:val="citationinfo1"/>
          <w:color w:val="000000"/>
          <w:sz w:val="20"/>
          <w:szCs w:val="20"/>
        </w:rPr>
        <w:t xml:space="preserve"> Dixit (Amity University, India) and Amit Kumar Sinha (Amity University, India) (eds)</w:t>
      </w:r>
      <w:r>
        <w:rPr>
          <w:rStyle w:val="citationinfo1"/>
          <w:color w:val="000000"/>
          <w:sz w:val="20"/>
          <w:szCs w:val="20"/>
        </w:rPr>
        <w:t xml:space="preserve"> </w:t>
      </w:r>
      <w:r w:rsidRPr="00E65210">
        <w:rPr>
          <w:rStyle w:val="citationinfo1"/>
          <w:color w:val="000000"/>
          <w:sz w:val="20"/>
          <w:szCs w:val="20"/>
        </w:rPr>
        <w:t>Release Date: March, 2016. Copyright © 2016. 380 pages.</w:t>
      </w:r>
    </w:p>
    <w:p w14:paraId="083AE31E" w14:textId="57413779" w:rsidR="00DA15C6" w:rsidRDefault="00DA15C6" w:rsidP="0041360E">
      <w:pPr>
        <w:jc w:val="both"/>
        <w:rPr>
          <w:rFonts w:ascii="Times New Roman" w:eastAsia="Times New Roman" w:hAnsi="Times New Roman" w:cs="Times New Roman"/>
          <w:spacing w:val="1"/>
          <w:sz w:val="24"/>
          <w:szCs w:val="24"/>
        </w:rPr>
      </w:pPr>
    </w:p>
    <w:p w14:paraId="7BFA0627" w14:textId="6B5FFA7E" w:rsidR="00CB478C" w:rsidRPr="00BA66DC" w:rsidRDefault="00CB478C" w:rsidP="0041360E">
      <w:pPr>
        <w:jc w:val="both"/>
        <w:rPr>
          <w:rFonts w:ascii="Times New Roman" w:eastAsia="Times New Roman" w:hAnsi="Times New Roman" w:cs="Times New Roman"/>
          <w:spacing w:val="1"/>
          <w:sz w:val="24"/>
          <w:szCs w:val="24"/>
        </w:rPr>
      </w:pPr>
      <w:proofErr w:type="spellStart"/>
      <w:r w:rsidRPr="00BA66DC">
        <w:rPr>
          <w:rFonts w:ascii="Times New Roman" w:hAnsi="Times New Roman" w:cs="Times New Roman"/>
          <w:color w:val="000000" w:themeColor="text1"/>
          <w:sz w:val="24"/>
          <w:szCs w:val="24"/>
        </w:rPr>
        <w:t>Porchia</w:t>
      </w:r>
      <w:proofErr w:type="spellEnd"/>
      <w:r w:rsidRPr="00BA66DC">
        <w:rPr>
          <w:rFonts w:ascii="Times New Roman" w:hAnsi="Times New Roman" w:cs="Times New Roman"/>
          <w:color w:val="000000" w:themeColor="text1"/>
          <w:sz w:val="24"/>
          <w:szCs w:val="24"/>
        </w:rPr>
        <w:t>, O. (2019). “Citizens’ rights in the post Brexit scenario” ERA Forum (2019) 19:585–595 https://doi.org/10.1007/s12027-018-0545-0</w:t>
      </w:r>
    </w:p>
    <w:p w14:paraId="4BEB3DD3" w14:textId="09BBE488" w:rsidR="00EC1E6B" w:rsidRPr="009E503C" w:rsidRDefault="00EC1E6B" w:rsidP="0041360E">
      <w:pPr>
        <w:jc w:val="both"/>
        <w:rPr>
          <w:rFonts w:ascii="Times New Roman" w:eastAsia="Times New Roman" w:hAnsi="Times New Roman" w:cs="Times New Roman"/>
          <w:spacing w:val="1"/>
          <w:sz w:val="24"/>
          <w:szCs w:val="24"/>
        </w:rPr>
      </w:pPr>
      <w:r w:rsidRPr="009E503C">
        <w:rPr>
          <w:rFonts w:ascii="Times New Roman" w:eastAsia="Times New Roman" w:hAnsi="Times New Roman" w:cs="Times New Roman"/>
          <w:spacing w:val="1"/>
          <w:sz w:val="24"/>
          <w:szCs w:val="24"/>
        </w:rPr>
        <w:t xml:space="preserve">Regulation (EU) 2016/679 of the European Parliament and of the Council of 27 April 2016 on the protection of natural persons </w:t>
      </w:r>
      <w:proofErr w:type="gramStart"/>
      <w:r w:rsidRPr="009E503C">
        <w:rPr>
          <w:rFonts w:ascii="Times New Roman" w:eastAsia="Times New Roman" w:hAnsi="Times New Roman" w:cs="Times New Roman"/>
          <w:spacing w:val="1"/>
          <w:sz w:val="24"/>
          <w:szCs w:val="24"/>
        </w:rPr>
        <w:t>with regard to</w:t>
      </w:r>
      <w:proofErr w:type="gramEnd"/>
      <w:r w:rsidRPr="009E503C">
        <w:rPr>
          <w:rFonts w:ascii="Times New Roman" w:eastAsia="Times New Roman" w:hAnsi="Times New Roman" w:cs="Times New Roman"/>
          <w:spacing w:val="1"/>
          <w:sz w:val="24"/>
          <w:szCs w:val="24"/>
        </w:rPr>
        <w:t xml:space="preserve"> the processing of personal data and on the free movement of such data and repealing Directive 95/46/EC (General Data Protection Regulation).</w:t>
      </w:r>
    </w:p>
    <w:p w14:paraId="7A4E8B2B" w14:textId="39A1DC7B" w:rsidR="00493E65" w:rsidRDefault="00493E65" w:rsidP="0041360E">
      <w:pPr>
        <w:jc w:val="both"/>
        <w:rPr>
          <w:rFonts w:ascii="Times New Roman" w:hAnsi="Times New Roman" w:cs="Times New Roman"/>
          <w:sz w:val="24"/>
          <w:szCs w:val="24"/>
        </w:rPr>
      </w:pPr>
      <w:r w:rsidRPr="009E503C">
        <w:rPr>
          <w:rFonts w:ascii="Times New Roman" w:hAnsi="Times New Roman" w:cs="Times New Roman"/>
          <w:sz w:val="24"/>
          <w:szCs w:val="24"/>
        </w:rPr>
        <w:t>TFEU and particularly Articles. 63-66</w:t>
      </w:r>
    </w:p>
    <w:p w14:paraId="11941D99" w14:textId="18551440" w:rsidR="007256C0" w:rsidRPr="009E503C" w:rsidRDefault="007256C0" w:rsidP="0041360E">
      <w:pPr>
        <w:jc w:val="both"/>
        <w:rPr>
          <w:rFonts w:ascii="Times New Roman" w:hAnsi="Times New Roman" w:cs="Times New Roman"/>
          <w:sz w:val="24"/>
          <w:szCs w:val="24"/>
        </w:rPr>
      </w:pPr>
      <w:r w:rsidRPr="007256C0">
        <w:rPr>
          <w:rFonts w:ascii="Times New Roman" w:hAnsi="Times New Roman" w:cs="Times New Roman"/>
          <w:sz w:val="24"/>
          <w:szCs w:val="24"/>
        </w:rPr>
        <w:t>Yin S (2017)</w:t>
      </w:r>
      <w:r>
        <w:rPr>
          <w:rFonts w:ascii="Times New Roman" w:hAnsi="Times New Roman" w:cs="Times New Roman"/>
          <w:sz w:val="24"/>
          <w:szCs w:val="24"/>
        </w:rPr>
        <w:t>.</w:t>
      </w:r>
      <w:r w:rsidRPr="007256C0">
        <w:rPr>
          <w:rFonts w:ascii="Times New Roman" w:hAnsi="Times New Roman" w:cs="Times New Roman"/>
          <w:sz w:val="24"/>
          <w:szCs w:val="24"/>
        </w:rPr>
        <w:t xml:space="preserve"> Envisaging a post-Brexit financial services sector under the GATS framework—a case study of Euro clearing. In: Hillman J, Horlick G (eds) Legal aspects of Brexit. Institute of International Economic Law, Washington, pp 230–241</w:t>
      </w:r>
    </w:p>
    <w:sectPr w:rsidR="007256C0" w:rsidRPr="009E50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7DC6" w14:textId="77777777" w:rsidR="00C70985" w:rsidRDefault="00C70985" w:rsidP="00EC1E6B">
      <w:pPr>
        <w:spacing w:after="0" w:line="240" w:lineRule="auto"/>
      </w:pPr>
      <w:r>
        <w:separator/>
      </w:r>
    </w:p>
  </w:endnote>
  <w:endnote w:type="continuationSeparator" w:id="0">
    <w:p w14:paraId="54E688BA" w14:textId="77777777" w:rsidR="00C70985" w:rsidRDefault="00C70985" w:rsidP="00EC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5985" w14:textId="77777777" w:rsidR="00B323F4" w:rsidRDefault="00B32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1A10" w14:textId="77777777" w:rsidR="00B323F4" w:rsidRDefault="00B32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78F9" w14:textId="77777777" w:rsidR="00B323F4" w:rsidRDefault="00B3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4058" w14:textId="77777777" w:rsidR="00C70985" w:rsidRDefault="00C70985" w:rsidP="00EC1E6B">
      <w:pPr>
        <w:spacing w:after="0" w:line="240" w:lineRule="auto"/>
      </w:pPr>
      <w:r>
        <w:separator/>
      </w:r>
    </w:p>
  </w:footnote>
  <w:footnote w:type="continuationSeparator" w:id="0">
    <w:p w14:paraId="0251B60E" w14:textId="77777777" w:rsidR="00C70985" w:rsidRDefault="00C70985" w:rsidP="00EC1E6B">
      <w:pPr>
        <w:spacing w:after="0" w:line="240" w:lineRule="auto"/>
      </w:pPr>
      <w:r>
        <w:continuationSeparator/>
      </w:r>
    </w:p>
  </w:footnote>
  <w:footnote w:id="1">
    <w:p w14:paraId="5F07477F" w14:textId="6D12E287" w:rsidR="00117DFC" w:rsidRPr="00117DFC" w:rsidRDefault="00117DFC" w:rsidP="00A837F7">
      <w:pPr>
        <w:pStyle w:val="FootnoteText"/>
        <w:jc w:val="both"/>
        <w:rPr>
          <w:rFonts w:ascii="Times New Roman" w:hAnsi="Times New Roman" w:cs="Times New Roman"/>
        </w:rPr>
      </w:pPr>
      <w:r w:rsidRPr="00117DFC">
        <w:rPr>
          <w:rStyle w:val="FootnoteReference"/>
          <w:rFonts w:ascii="Times New Roman" w:hAnsi="Times New Roman" w:cs="Times New Roman"/>
        </w:rPr>
        <w:footnoteRef/>
      </w:r>
      <w:r w:rsidRPr="00117DFC">
        <w:rPr>
          <w:rFonts w:ascii="Times New Roman" w:hAnsi="Times New Roman" w:cs="Times New Roman"/>
        </w:rPr>
        <w:t xml:space="preserve"> Center and Institute for Innovation and Sustainable Development. Visit </w:t>
      </w:r>
      <w:hyperlink r:id="rId1" w:history="1">
        <w:r w:rsidRPr="00117DFC">
          <w:rPr>
            <w:rStyle w:val="Hyperlink"/>
            <w:rFonts w:ascii="Times New Roman" w:hAnsi="Times New Roman" w:cs="Times New Roman"/>
          </w:rPr>
          <w:t>www.ciinnovationsd.org</w:t>
        </w:r>
      </w:hyperlink>
    </w:p>
    <w:p w14:paraId="288DF9D3" w14:textId="77777777" w:rsidR="00117DFC" w:rsidRDefault="00117DFC" w:rsidP="00A837F7">
      <w:pPr>
        <w:pStyle w:val="FootnoteText"/>
        <w:jc w:val="both"/>
      </w:pPr>
    </w:p>
  </w:footnote>
  <w:footnote w:id="2">
    <w:p w14:paraId="6E5A4D40" w14:textId="13DB6689" w:rsidR="00EC1E6B" w:rsidRPr="00420875" w:rsidRDefault="00EC1E6B" w:rsidP="00A837F7">
      <w:pPr>
        <w:pStyle w:val="FootnoteText"/>
        <w:jc w:val="both"/>
        <w:rPr>
          <w:rFonts w:ascii="Times New Roman" w:hAnsi="Times New Roman" w:cs="Times New Roman"/>
          <w:color w:val="000000" w:themeColor="text1"/>
        </w:rPr>
      </w:pPr>
      <w:r w:rsidRPr="00420875">
        <w:rPr>
          <w:rStyle w:val="FootnoteReference"/>
          <w:rFonts w:ascii="Times New Roman" w:hAnsi="Times New Roman" w:cs="Times New Roman"/>
          <w:color w:val="000000" w:themeColor="text1"/>
        </w:rPr>
        <w:footnoteRef/>
      </w:r>
      <w:r w:rsidRPr="00420875">
        <w:rPr>
          <w:rFonts w:ascii="Times New Roman" w:hAnsi="Times New Roman" w:cs="Times New Roman"/>
          <w:color w:val="000000" w:themeColor="text1"/>
        </w:rPr>
        <w:t xml:space="preserve"> Ornella </w:t>
      </w:r>
      <w:proofErr w:type="spellStart"/>
      <w:r w:rsidRPr="00420875">
        <w:rPr>
          <w:rFonts w:ascii="Times New Roman" w:hAnsi="Times New Roman" w:cs="Times New Roman"/>
          <w:color w:val="000000" w:themeColor="text1"/>
        </w:rPr>
        <w:t>Porchia</w:t>
      </w:r>
      <w:proofErr w:type="spellEnd"/>
      <w:r w:rsidRPr="00420875">
        <w:rPr>
          <w:rFonts w:ascii="Times New Roman" w:hAnsi="Times New Roman" w:cs="Times New Roman"/>
          <w:color w:val="000000" w:themeColor="text1"/>
        </w:rPr>
        <w:t>, “Citizens’ rights in the post Brexit scenario” ERA Forum (2019) 19:585–595 https://doi.org/10.1007/s12027-018-0545-0</w:t>
      </w:r>
    </w:p>
  </w:footnote>
  <w:footnote w:id="3">
    <w:p w14:paraId="1444F9EA" w14:textId="10902764" w:rsidR="00C13758" w:rsidRPr="00420875" w:rsidRDefault="00C13758" w:rsidP="00A837F7">
      <w:pPr>
        <w:jc w:val="both"/>
        <w:rPr>
          <w:rFonts w:ascii="Times New Roman" w:hAnsi="Times New Roman" w:cs="Times New Roman"/>
          <w:color w:val="000000" w:themeColor="text1"/>
          <w:sz w:val="20"/>
          <w:szCs w:val="20"/>
        </w:rPr>
      </w:pPr>
      <w:r w:rsidRPr="00420875">
        <w:rPr>
          <w:rStyle w:val="FootnoteReference"/>
          <w:rFonts w:ascii="Times New Roman" w:hAnsi="Times New Roman" w:cs="Times New Roman"/>
          <w:color w:val="000000" w:themeColor="text1"/>
          <w:sz w:val="20"/>
          <w:szCs w:val="20"/>
        </w:rPr>
        <w:footnoteRef/>
      </w:r>
      <w:r w:rsidRPr="00420875">
        <w:rPr>
          <w:rFonts w:ascii="Times New Roman" w:hAnsi="Times New Roman" w:cs="Times New Roman"/>
          <w:color w:val="000000" w:themeColor="text1"/>
          <w:sz w:val="20"/>
          <w:szCs w:val="20"/>
        </w:rPr>
        <w:t xml:space="preserve"> See </w:t>
      </w:r>
      <w:proofErr w:type="spellStart"/>
      <w:r w:rsidR="00420875" w:rsidRPr="00420875">
        <w:rPr>
          <w:rFonts w:ascii="Times New Roman" w:hAnsi="Times New Roman" w:cs="Times New Roman"/>
          <w:color w:val="000000" w:themeColor="text1"/>
          <w:sz w:val="20"/>
          <w:szCs w:val="20"/>
        </w:rPr>
        <w:t>Circolo</w:t>
      </w:r>
      <w:proofErr w:type="spellEnd"/>
      <w:r w:rsidR="00420875" w:rsidRPr="00420875">
        <w:rPr>
          <w:rFonts w:ascii="Times New Roman" w:hAnsi="Times New Roman" w:cs="Times New Roman"/>
          <w:color w:val="000000" w:themeColor="text1"/>
          <w:sz w:val="20"/>
          <w:szCs w:val="20"/>
        </w:rPr>
        <w:t xml:space="preserve">, A., </w:t>
      </w:r>
      <w:proofErr w:type="spellStart"/>
      <w:r w:rsidR="00420875" w:rsidRPr="00420875">
        <w:rPr>
          <w:rFonts w:ascii="Times New Roman" w:eastAsia="Times New Roman" w:hAnsi="Times New Roman" w:cs="Times New Roman"/>
          <w:color w:val="000000" w:themeColor="text1"/>
          <w:sz w:val="20"/>
          <w:szCs w:val="20"/>
        </w:rPr>
        <w:t>Hamuľák</w:t>
      </w:r>
      <w:proofErr w:type="spellEnd"/>
      <w:r w:rsidR="00420875" w:rsidRPr="00420875">
        <w:rPr>
          <w:rFonts w:ascii="Times New Roman" w:eastAsia="Times New Roman" w:hAnsi="Times New Roman" w:cs="Times New Roman"/>
          <w:color w:val="000000" w:themeColor="text1"/>
          <w:sz w:val="20"/>
          <w:szCs w:val="20"/>
        </w:rPr>
        <w:t xml:space="preserve">, O. and </w:t>
      </w:r>
      <w:proofErr w:type="spellStart"/>
      <w:r w:rsidR="00420875" w:rsidRPr="00420875">
        <w:rPr>
          <w:rFonts w:ascii="Times New Roman" w:eastAsia="Times New Roman" w:hAnsi="Times New Roman" w:cs="Times New Roman"/>
          <w:color w:val="000000" w:themeColor="text1"/>
          <w:sz w:val="20"/>
          <w:szCs w:val="20"/>
        </w:rPr>
        <w:t>Blažo</w:t>
      </w:r>
      <w:proofErr w:type="spellEnd"/>
      <w:r w:rsidR="00420875" w:rsidRPr="00420875">
        <w:rPr>
          <w:rFonts w:ascii="Times New Roman" w:eastAsia="Times New Roman" w:hAnsi="Times New Roman" w:cs="Times New Roman"/>
          <w:color w:val="000000" w:themeColor="text1"/>
          <w:sz w:val="20"/>
          <w:szCs w:val="20"/>
        </w:rPr>
        <w:t>, O</w:t>
      </w:r>
      <w:r w:rsidR="00F174CC">
        <w:rPr>
          <w:rFonts w:ascii="Times New Roman" w:hAnsi="Times New Roman" w:cs="Times New Roman"/>
          <w:color w:val="000000" w:themeColor="text1"/>
          <w:sz w:val="20"/>
          <w:szCs w:val="20"/>
        </w:rPr>
        <w:t>. (2018</w:t>
      </w:r>
      <w:proofErr w:type="gramStart"/>
      <w:r w:rsidR="00F174CC">
        <w:rPr>
          <w:rFonts w:ascii="Times New Roman" w:hAnsi="Times New Roman" w:cs="Times New Roman"/>
          <w:color w:val="000000" w:themeColor="text1"/>
          <w:sz w:val="20"/>
          <w:szCs w:val="20"/>
        </w:rPr>
        <w:t>).</w:t>
      </w:r>
      <w:r w:rsidR="00420875" w:rsidRPr="00420875">
        <w:rPr>
          <w:rFonts w:ascii="Times New Roman" w:hAnsi="Times New Roman" w:cs="Times New Roman"/>
          <w:color w:val="000000" w:themeColor="text1"/>
          <w:sz w:val="20"/>
          <w:szCs w:val="20"/>
        </w:rPr>
        <w:t>“</w:t>
      </w:r>
      <w:proofErr w:type="gramEnd"/>
      <w:r w:rsidRPr="00420875">
        <w:rPr>
          <w:rFonts w:ascii="Times New Roman" w:eastAsia="Times New Roman" w:hAnsi="Times New Roman" w:cs="Times New Roman"/>
          <w:color w:val="000000" w:themeColor="text1"/>
          <w:spacing w:val="2"/>
          <w:kern w:val="36"/>
          <w:sz w:val="20"/>
          <w:szCs w:val="20"/>
          <w:lang w:val="en"/>
        </w:rPr>
        <w:t>Article 50 of the Treaty on European Union: How to Understand the ‘Right’ of the Member State to Withdraw the European Union?</w:t>
      </w:r>
      <w:r w:rsidR="00420875" w:rsidRPr="00420875">
        <w:rPr>
          <w:rFonts w:ascii="Times New Roman" w:eastAsia="Times New Roman" w:hAnsi="Times New Roman" w:cs="Times New Roman"/>
          <w:color w:val="000000" w:themeColor="text1"/>
          <w:spacing w:val="2"/>
          <w:kern w:val="36"/>
          <w:sz w:val="20"/>
          <w:szCs w:val="20"/>
          <w:lang w:val="en"/>
        </w:rPr>
        <w:t>”</w:t>
      </w:r>
    </w:p>
  </w:footnote>
  <w:footnote w:id="4">
    <w:p w14:paraId="6BCCCDB0" w14:textId="1414E69F" w:rsidR="00D86C7F" w:rsidRPr="00D86C7F" w:rsidRDefault="00D86C7F" w:rsidP="00D86C7F">
      <w:pPr>
        <w:pStyle w:val="FootnoteText"/>
        <w:jc w:val="both"/>
        <w:rPr>
          <w:rFonts w:ascii="Times New Roman" w:hAnsi="Times New Roman" w:cs="Times New Roman"/>
        </w:rPr>
      </w:pPr>
      <w:r w:rsidRPr="00D86C7F">
        <w:rPr>
          <w:rStyle w:val="FootnoteReference"/>
          <w:rFonts w:ascii="Times New Roman" w:hAnsi="Times New Roman" w:cs="Times New Roman"/>
        </w:rPr>
        <w:footnoteRef/>
      </w:r>
      <w:r w:rsidRPr="00D86C7F">
        <w:rPr>
          <w:rFonts w:ascii="Times New Roman" w:hAnsi="Times New Roman" w:cs="Times New Roman"/>
        </w:rPr>
        <w:t xml:space="preserve"> “The free movement of capital underpins the single market and complements the other three freedoms. It also contributes to economic growth by enabling capital to be invested efficiently and promotes the use of the euro as an international currency, thus contributing to the EU’s role as a global player.</w:t>
      </w:r>
      <w:r>
        <w:rPr>
          <w:rFonts w:ascii="Times New Roman" w:hAnsi="Times New Roman" w:cs="Times New Roman"/>
        </w:rPr>
        <w:t xml:space="preserve">” </w:t>
      </w:r>
      <w:r w:rsidRPr="003B2E0D">
        <w:rPr>
          <w:rFonts w:ascii="Times New Roman" w:hAnsi="Times New Roman" w:cs="Times New Roman"/>
        </w:rPr>
        <w:t>See Arts. 63-66 TFEU.</w:t>
      </w:r>
    </w:p>
  </w:footnote>
  <w:footnote w:id="5">
    <w:p w14:paraId="49BD533A" w14:textId="66799C0D" w:rsidR="00EC1E6B" w:rsidRPr="00EC1E6B" w:rsidRDefault="00EC1E6B" w:rsidP="00EC1E6B">
      <w:pPr>
        <w:jc w:val="both"/>
        <w:rPr>
          <w:rFonts w:ascii="Times New Roman" w:hAnsi="Times New Roman" w:cs="Times New Roman"/>
          <w:sz w:val="20"/>
          <w:szCs w:val="20"/>
        </w:rPr>
      </w:pPr>
      <w:r w:rsidRPr="00EC1E6B">
        <w:rPr>
          <w:rStyle w:val="FootnoteReference"/>
          <w:rFonts w:ascii="Times New Roman" w:hAnsi="Times New Roman" w:cs="Times New Roman"/>
          <w:sz w:val="20"/>
          <w:szCs w:val="20"/>
        </w:rPr>
        <w:footnoteRef/>
      </w:r>
      <w:r w:rsidRPr="00EC1E6B">
        <w:rPr>
          <w:rFonts w:ascii="Times New Roman" w:hAnsi="Times New Roman" w:cs="Times New Roman"/>
          <w:sz w:val="20"/>
          <w:szCs w:val="20"/>
        </w:rPr>
        <w:t xml:space="preserve"> </w:t>
      </w:r>
      <w:r w:rsidRPr="003B2E0D">
        <w:rPr>
          <w:rFonts w:ascii="Times New Roman" w:hAnsi="Times New Roman" w:cs="Times New Roman"/>
          <w:sz w:val="20"/>
          <w:szCs w:val="20"/>
        </w:rPr>
        <w:t xml:space="preserve">See Arts. 63-66 TFEU. </w:t>
      </w:r>
      <w:hyperlink r:id="rId2" w:history="1">
        <w:r w:rsidR="003B2E0D" w:rsidRPr="003B2E0D">
          <w:rPr>
            <w:rStyle w:val="Hyperlink"/>
            <w:rFonts w:ascii="Times New Roman" w:hAnsi="Times New Roman" w:cs="Times New Roman"/>
            <w:sz w:val="20"/>
            <w:szCs w:val="20"/>
          </w:rPr>
          <w:t>http://www.europarl.europa.eu/ftu/pdf/en/FTU_2.1.3.pdf</w:t>
        </w:r>
      </w:hyperlink>
    </w:p>
    <w:p w14:paraId="3413D3F6" w14:textId="59B382D7" w:rsidR="00EC1E6B" w:rsidRDefault="00EC1E6B">
      <w:pPr>
        <w:pStyle w:val="FootnoteText"/>
      </w:pPr>
    </w:p>
  </w:footnote>
  <w:footnote w:id="6">
    <w:p w14:paraId="60F9E0B8" w14:textId="77777777" w:rsidR="0030369E" w:rsidRPr="001E0004" w:rsidRDefault="0030369E" w:rsidP="0030369E">
      <w:pPr>
        <w:pStyle w:val="FootnoteText"/>
        <w:rPr>
          <w:rFonts w:ascii="Times New Roman" w:hAnsi="Times New Roman" w:cs="Times New Roman"/>
        </w:rPr>
      </w:pPr>
      <w:r w:rsidRPr="001E0004">
        <w:rPr>
          <w:rStyle w:val="FootnoteReference"/>
          <w:rFonts w:ascii="Times New Roman" w:hAnsi="Times New Roman" w:cs="Times New Roman"/>
        </w:rPr>
        <w:footnoteRef/>
      </w:r>
      <w:r w:rsidRPr="001E0004">
        <w:rPr>
          <w:rFonts w:ascii="Times New Roman" w:hAnsi="Times New Roman" w:cs="Times New Roman"/>
        </w:rPr>
        <w:t xml:space="preserve"> See Articles 8-46 EEA Agreement</w:t>
      </w:r>
    </w:p>
  </w:footnote>
  <w:footnote w:id="7">
    <w:p w14:paraId="6978BE14" w14:textId="69139D2E" w:rsidR="009933FA" w:rsidRPr="009933FA" w:rsidRDefault="009933FA" w:rsidP="002B660C">
      <w:pPr>
        <w:pStyle w:val="FootnoteText"/>
        <w:jc w:val="both"/>
        <w:rPr>
          <w:rFonts w:ascii="Times New Roman" w:hAnsi="Times New Roman" w:cs="Times New Roman"/>
        </w:rPr>
      </w:pPr>
      <w:r w:rsidRPr="009933FA">
        <w:rPr>
          <w:rStyle w:val="FootnoteReference"/>
          <w:rFonts w:ascii="Times New Roman" w:hAnsi="Times New Roman" w:cs="Times New Roman"/>
        </w:rPr>
        <w:footnoteRef/>
      </w:r>
      <w:r w:rsidRPr="009933FA">
        <w:rPr>
          <w:rFonts w:ascii="Times New Roman" w:hAnsi="Times New Roman" w:cs="Times New Roman"/>
        </w:rPr>
        <w:t xml:space="preserve"> “The upper boundary against which an EU-UK FTA needs to be measured is the EEA Agreement, which creates an internal market between the current 28 EU Member States and the three EEA European Free Trade Association (EFTA) States Iceland, Liechtenstein and Norway (EEA Internal Market).”</w:t>
      </w:r>
      <w:r>
        <w:rPr>
          <w:rFonts w:ascii="Times New Roman" w:hAnsi="Times New Roman" w:cs="Times New Roman"/>
        </w:rPr>
        <w:t xml:space="preserve"> See </w:t>
      </w:r>
      <w:r w:rsidRPr="007712E9">
        <w:rPr>
          <w:rFonts w:ascii="Times New Roman" w:hAnsi="Times New Roman" w:cs="Times New Roman"/>
        </w:rPr>
        <w:t xml:space="preserve">Berger, H. and </w:t>
      </w:r>
      <w:proofErr w:type="spellStart"/>
      <w:r w:rsidRPr="007712E9">
        <w:rPr>
          <w:rFonts w:ascii="Times New Roman" w:hAnsi="Times New Roman" w:cs="Times New Roman"/>
        </w:rPr>
        <w:t>Badenhoop</w:t>
      </w:r>
      <w:proofErr w:type="spellEnd"/>
      <w:r w:rsidRPr="007712E9">
        <w:rPr>
          <w:rFonts w:ascii="Times New Roman" w:hAnsi="Times New Roman" w:cs="Times New Roman"/>
        </w:rPr>
        <w:t>, N. “Financial Services and</w:t>
      </w:r>
      <w:r w:rsidR="001C53EA">
        <w:rPr>
          <w:rFonts w:ascii="Times New Roman" w:hAnsi="Times New Roman" w:cs="Times New Roman"/>
        </w:rPr>
        <w:t xml:space="preserve"> </w:t>
      </w:r>
      <w:r w:rsidRPr="007712E9">
        <w:rPr>
          <w:rFonts w:ascii="Times New Roman" w:hAnsi="Times New Roman" w:cs="Times New Roman"/>
        </w:rPr>
        <w:t>Brexit: Navigating Towards Future Market Access”, European Business Organization Law Review (2018)</w:t>
      </w:r>
      <w:r>
        <w:rPr>
          <w:rFonts w:ascii="Times New Roman" w:hAnsi="Times New Roman" w:cs="Times New Roman"/>
        </w:rPr>
        <w:t xml:space="preserve"> at page 702.</w:t>
      </w:r>
    </w:p>
  </w:footnote>
  <w:footnote w:id="8">
    <w:p w14:paraId="4B8F73F1" w14:textId="254A879F" w:rsidR="005C02A6" w:rsidRPr="00393833" w:rsidRDefault="005C02A6" w:rsidP="005C02A6">
      <w:pPr>
        <w:spacing w:line="240" w:lineRule="auto"/>
        <w:outlineLvl w:val="0"/>
        <w:rPr>
          <w:rFonts w:ascii="Times New Roman" w:eastAsia="Times New Roman" w:hAnsi="Times New Roman" w:cs="Times New Roman"/>
          <w:color w:val="333333"/>
          <w:spacing w:val="2"/>
          <w:kern w:val="36"/>
          <w:sz w:val="20"/>
          <w:szCs w:val="20"/>
          <w:lang w:val="en"/>
        </w:rPr>
      </w:pPr>
      <w:r w:rsidRPr="00393833">
        <w:rPr>
          <w:rStyle w:val="FootnoteReference"/>
          <w:rFonts w:ascii="Times New Roman" w:hAnsi="Times New Roman" w:cs="Times New Roman"/>
          <w:sz w:val="20"/>
          <w:szCs w:val="20"/>
        </w:rPr>
        <w:footnoteRef/>
      </w:r>
      <w:r w:rsidRPr="00393833">
        <w:rPr>
          <w:rFonts w:ascii="Times New Roman" w:hAnsi="Times New Roman" w:cs="Times New Roman"/>
          <w:sz w:val="20"/>
          <w:szCs w:val="20"/>
        </w:rPr>
        <w:t xml:space="preserve"> </w:t>
      </w:r>
      <w:proofErr w:type="gramStart"/>
      <w:r w:rsidRPr="00592353">
        <w:rPr>
          <w:rFonts w:ascii="Times New Roman" w:hAnsi="Times New Roman" w:cs="Times New Roman"/>
          <w:color w:val="000000" w:themeColor="text1"/>
          <w:sz w:val="20"/>
          <w:szCs w:val="20"/>
        </w:rPr>
        <w:t>See  Dialer</w:t>
      </w:r>
      <w:proofErr w:type="gramEnd"/>
      <w:r w:rsidRPr="00592353">
        <w:rPr>
          <w:rFonts w:ascii="Times New Roman" w:hAnsi="Times New Roman" w:cs="Times New Roman"/>
          <w:color w:val="000000" w:themeColor="text1"/>
          <w:sz w:val="20"/>
          <w:szCs w:val="20"/>
        </w:rPr>
        <w:t xml:space="preserve">, D, and Richter, M. (2018), </w:t>
      </w:r>
      <w:r w:rsidRPr="00592353">
        <w:rPr>
          <w:rFonts w:ascii="Times New Roman" w:eastAsia="Times New Roman" w:hAnsi="Times New Roman" w:cs="Times New Roman"/>
          <w:color w:val="000000" w:themeColor="text1"/>
          <w:spacing w:val="2"/>
          <w:kern w:val="36"/>
          <w:sz w:val="20"/>
          <w:szCs w:val="20"/>
          <w:lang w:val="en"/>
        </w:rPr>
        <w:t>Lobbying in Europe: Professionals, Politicians, and Institutions Under General Suspicion?</w:t>
      </w:r>
      <w:r w:rsidR="009933FA">
        <w:rPr>
          <w:rFonts w:ascii="Times New Roman" w:eastAsia="Times New Roman" w:hAnsi="Times New Roman" w:cs="Times New Roman"/>
          <w:color w:val="000000" w:themeColor="text1"/>
          <w:spacing w:val="2"/>
          <w:kern w:val="36"/>
          <w:sz w:val="20"/>
          <w:szCs w:val="20"/>
          <w:lang w:val="en"/>
        </w:rPr>
        <w:t xml:space="preserve"> </w:t>
      </w:r>
    </w:p>
    <w:p w14:paraId="595FC20F" w14:textId="77777777" w:rsidR="005C02A6" w:rsidRDefault="005C02A6" w:rsidP="005C02A6">
      <w:pPr>
        <w:pStyle w:val="FootnoteText"/>
      </w:pPr>
    </w:p>
  </w:footnote>
  <w:footnote w:id="9">
    <w:p w14:paraId="49A4ADAA" w14:textId="77777777" w:rsidR="005C02A6" w:rsidRDefault="005C02A6" w:rsidP="005C02A6">
      <w:pPr>
        <w:pStyle w:val="FootnoteText"/>
      </w:pPr>
      <w:r>
        <w:rPr>
          <w:rStyle w:val="FootnoteReference"/>
        </w:rPr>
        <w:footnoteRef/>
      </w:r>
      <w:r>
        <w:t xml:space="preserve"> </w:t>
      </w:r>
      <w:r w:rsidRPr="00393833">
        <w:rPr>
          <w:rFonts w:ascii="Times New Roman" w:hAnsi="Times New Roman" w:cs="Times New Roman"/>
        </w:rPr>
        <w:t xml:space="preserve">Also see </w:t>
      </w:r>
      <w:proofErr w:type="spellStart"/>
      <w:r w:rsidRPr="00393833">
        <w:rPr>
          <w:rFonts w:ascii="Times New Roman" w:eastAsia="Times New Roman" w:hAnsi="Times New Roman" w:cs="Times New Roman"/>
          <w:spacing w:val="1"/>
        </w:rPr>
        <w:t>Crepaz</w:t>
      </w:r>
      <w:proofErr w:type="spellEnd"/>
      <w:r w:rsidRPr="00393833">
        <w:rPr>
          <w:rFonts w:ascii="Times New Roman" w:eastAsia="Times New Roman" w:hAnsi="Times New Roman" w:cs="Times New Roman"/>
          <w:spacing w:val="1"/>
        </w:rPr>
        <w:t xml:space="preserve"> et al., part I, Chap</w:t>
      </w:r>
      <w:r>
        <w:rPr>
          <w:rFonts w:ascii="Times New Roman" w:eastAsia="Times New Roman" w:hAnsi="Times New Roman" w:cs="Times New Roman"/>
          <w:spacing w:val="1"/>
        </w:rPr>
        <w:t>ter 4</w:t>
      </w:r>
    </w:p>
  </w:footnote>
  <w:footnote w:id="10">
    <w:p w14:paraId="136CCE7F" w14:textId="19B94616" w:rsidR="00592353" w:rsidRPr="004A6776" w:rsidRDefault="00592353" w:rsidP="00592353">
      <w:pPr>
        <w:spacing w:before="240" w:after="288" w:line="240" w:lineRule="auto"/>
        <w:jc w:val="both"/>
        <w:rPr>
          <w:rFonts w:ascii="Times New Roman" w:eastAsia="Times New Roman" w:hAnsi="Times New Roman" w:cs="Times New Roman"/>
          <w:spacing w:val="1"/>
          <w:sz w:val="20"/>
          <w:szCs w:val="20"/>
        </w:rPr>
      </w:pPr>
      <w:r>
        <w:rPr>
          <w:rStyle w:val="FootnoteReference"/>
        </w:rPr>
        <w:footnoteRef/>
      </w:r>
      <w:r>
        <w:t xml:space="preserve"> </w:t>
      </w:r>
      <w:r w:rsidR="00192933">
        <w:t xml:space="preserve"> </w:t>
      </w:r>
      <w:r w:rsidR="00192933" w:rsidRPr="00192933">
        <w:rPr>
          <w:rFonts w:ascii="Times New Roman" w:hAnsi="Times New Roman" w:cs="Times New Roman"/>
          <w:sz w:val="20"/>
          <w:szCs w:val="20"/>
        </w:rPr>
        <w:t>Accordin</w:t>
      </w:r>
      <w:r w:rsidR="00192933">
        <w:rPr>
          <w:rFonts w:ascii="Times New Roman" w:hAnsi="Times New Roman" w:cs="Times New Roman"/>
          <w:sz w:val="20"/>
          <w:szCs w:val="20"/>
        </w:rPr>
        <w:t>g</w:t>
      </w:r>
      <w:r w:rsidR="00192933" w:rsidRPr="00192933">
        <w:rPr>
          <w:rFonts w:ascii="Times New Roman" w:hAnsi="Times New Roman" w:cs="Times New Roman"/>
          <w:sz w:val="20"/>
          <w:szCs w:val="20"/>
        </w:rPr>
        <w:t xml:space="preserve"> to Dialer and Richter</w:t>
      </w:r>
      <w:r w:rsidR="00192933">
        <w:rPr>
          <w:rFonts w:ascii="Times New Roman" w:hAnsi="Times New Roman" w:cs="Times New Roman"/>
          <w:sz w:val="20"/>
          <w:szCs w:val="20"/>
        </w:rPr>
        <w:t xml:space="preserve"> and based </w:t>
      </w:r>
      <w:r w:rsidR="00CB6800">
        <w:rPr>
          <w:rFonts w:ascii="Times New Roman" w:hAnsi="Times New Roman" w:cs="Times New Roman"/>
          <w:sz w:val="20"/>
          <w:szCs w:val="20"/>
        </w:rPr>
        <w:t>on reports obtained by them from several databases:</w:t>
      </w:r>
      <w:r w:rsidRPr="00192933">
        <w:rPr>
          <w:rFonts w:ascii="Times New Roman" w:hAnsi="Times New Roman" w:cs="Times New Roman"/>
          <w:sz w:val="20"/>
          <w:szCs w:val="20"/>
        </w:rPr>
        <w:t>“</w:t>
      </w:r>
      <w:r w:rsidR="00192933">
        <w:rPr>
          <w:rFonts w:ascii="Times New Roman" w:hAnsi="Times New Roman" w:cs="Times New Roman"/>
          <w:sz w:val="20"/>
          <w:szCs w:val="20"/>
        </w:rPr>
        <w:t xml:space="preserve"> </w:t>
      </w:r>
      <w:r w:rsidRPr="004A6776">
        <w:rPr>
          <w:rFonts w:ascii="Times New Roman" w:eastAsia="Times New Roman" w:hAnsi="Times New Roman" w:cs="Times New Roman"/>
          <w:spacing w:val="1"/>
          <w:sz w:val="20"/>
          <w:szCs w:val="20"/>
        </w:rPr>
        <w:t>Among the 25 biggest spenders are, according to an overview provided by the platform lobbyfacts.eu,</w:t>
      </w:r>
      <w:r w:rsidR="00CB6800" w:rsidRPr="004A6776">
        <w:rPr>
          <w:rFonts w:ascii="Times New Roman" w:eastAsia="Times New Roman" w:hAnsi="Times New Roman" w:cs="Times New Roman"/>
          <w:spacing w:val="1"/>
          <w:sz w:val="20"/>
          <w:szCs w:val="20"/>
        </w:rPr>
        <w:t xml:space="preserve"> </w:t>
      </w:r>
      <w:r w:rsidRPr="004A6776">
        <w:rPr>
          <w:rFonts w:ascii="Times New Roman" w:eastAsia="Times New Roman" w:hAnsi="Times New Roman" w:cs="Times New Roman"/>
          <w:spacing w:val="1"/>
          <w:sz w:val="20"/>
          <w:szCs w:val="20"/>
        </w:rPr>
        <w:t>9 companies from the energy sector (e.g., ExxonMobil and Shell) spending in total over €28 million a year on lobbying, 5 from the IT (e.g., Google and Microsoft) and the telecommunication sector (estimated spending €17.5 million), 2 railway and infrastructure companies (€12.9 million), 3 from the financial sector including Deutsche Bank (€8.1 million), 3 car manufacturers (€7.4 million), 1 from the chemical/pharmaceutical sector (€3.2 million), 1 from the tobacco (around €2.4 million), and 1 from the alcohol industry (around €2.4 million).</w:t>
      </w:r>
      <w:r w:rsidR="00CB6800">
        <w:rPr>
          <w:rFonts w:ascii="Times New Roman" w:eastAsia="Times New Roman" w:hAnsi="Times New Roman" w:cs="Times New Roman"/>
          <w:spacing w:val="1"/>
          <w:sz w:val="20"/>
          <w:szCs w:val="20"/>
        </w:rPr>
        <w:t>” Further they add that</w:t>
      </w:r>
      <w:r w:rsidRPr="004A6776">
        <w:rPr>
          <w:rFonts w:ascii="Times New Roman" w:eastAsia="Times New Roman" w:hAnsi="Times New Roman" w:cs="Times New Roman"/>
          <w:spacing w:val="1"/>
          <w:sz w:val="20"/>
          <w:szCs w:val="20"/>
        </w:rPr>
        <w:t xml:space="preserve">, </w:t>
      </w:r>
      <w:r w:rsidR="00CB6800">
        <w:rPr>
          <w:rFonts w:ascii="Times New Roman" w:eastAsia="Times New Roman" w:hAnsi="Times New Roman" w:cs="Times New Roman"/>
          <w:spacing w:val="1"/>
          <w:sz w:val="20"/>
          <w:szCs w:val="20"/>
        </w:rPr>
        <w:t>“</w:t>
      </w:r>
      <w:r w:rsidRPr="004A6776">
        <w:rPr>
          <w:rFonts w:ascii="Times New Roman" w:eastAsia="Times New Roman" w:hAnsi="Times New Roman" w:cs="Times New Roman"/>
          <w:spacing w:val="1"/>
          <w:sz w:val="20"/>
          <w:szCs w:val="20"/>
        </w:rPr>
        <w:t>even single non-governmental organizations (NGOs) declare lobbying expenses up to € 8 million, while more than 60 NGOs invest more than €1 million in lobbying activities.</w:t>
      </w:r>
      <w:r w:rsidR="00CB6800">
        <w:rPr>
          <w:rFonts w:ascii="Times New Roman" w:eastAsia="Times New Roman" w:hAnsi="Times New Roman" w:cs="Times New Roman"/>
          <w:spacing w:val="1"/>
          <w:sz w:val="20"/>
          <w:szCs w:val="20"/>
        </w:rPr>
        <w:t>” “A</w:t>
      </w:r>
      <w:r w:rsidRPr="004A6776">
        <w:rPr>
          <w:rFonts w:ascii="Times New Roman" w:eastAsia="Times New Roman" w:hAnsi="Times New Roman" w:cs="Times New Roman"/>
          <w:spacing w:val="1"/>
          <w:sz w:val="20"/>
          <w:szCs w:val="20"/>
        </w:rPr>
        <w:t xml:space="preserve">ll in </w:t>
      </w:r>
      <w:proofErr w:type="gramStart"/>
      <w:r w:rsidRPr="004A6776">
        <w:rPr>
          <w:rFonts w:ascii="Times New Roman" w:eastAsia="Times New Roman" w:hAnsi="Times New Roman" w:cs="Times New Roman"/>
          <w:spacing w:val="1"/>
          <w:sz w:val="20"/>
          <w:szCs w:val="20"/>
        </w:rPr>
        <w:t>all</w:t>
      </w:r>
      <w:proofErr w:type="gramEnd"/>
      <w:r w:rsidR="00CB6800">
        <w:rPr>
          <w:rFonts w:ascii="Times New Roman" w:eastAsia="Times New Roman" w:hAnsi="Times New Roman" w:cs="Times New Roman"/>
          <w:spacing w:val="1"/>
          <w:sz w:val="20"/>
          <w:szCs w:val="20"/>
        </w:rPr>
        <w:t>” and in their opinion, “</w:t>
      </w:r>
      <w:r w:rsidRPr="004A6776">
        <w:rPr>
          <w:rFonts w:ascii="Times New Roman" w:eastAsia="Times New Roman" w:hAnsi="Times New Roman" w:cs="Times New Roman"/>
          <w:spacing w:val="1"/>
          <w:sz w:val="20"/>
          <w:szCs w:val="20"/>
        </w:rPr>
        <w:t>NGOs quite rightly complain that they are massively outspent by corporate interests when it comes to influencing EU legislation.</w:t>
      </w:r>
      <w:r>
        <w:rPr>
          <w:rFonts w:ascii="Times New Roman" w:eastAsia="Times New Roman" w:hAnsi="Times New Roman" w:cs="Times New Roman"/>
          <w:spacing w:val="1"/>
          <w:sz w:val="20"/>
          <w:szCs w:val="20"/>
        </w:rPr>
        <w:t xml:space="preserve">”  </w:t>
      </w:r>
      <w:proofErr w:type="gramStart"/>
      <w:r w:rsidRPr="00592353">
        <w:rPr>
          <w:rFonts w:ascii="Times New Roman" w:hAnsi="Times New Roman" w:cs="Times New Roman"/>
          <w:color w:val="000000" w:themeColor="text1"/>
          <w:sz w:val="20"/>
          <w:szCs w:val="20"/>
        </w:rPr>
        <w:t>See  Dialer</w:t>
      </w:r>
      <w:proofErr w:type="gramEnd"/>
      <w:r w:rsidRPr="00592353">
        <w:rPr>
          <w:rFonts w:ascii="Times New Roman" w:hAnsi="Times New Roman" w:cs="Times New Roman"/>
          <w:color w:val="000000" w:themeColor="text1"/>
          <w:sz w:val="20"/>
          <w:szCs w:val="20"/>
        </w:rPr>
        <w:t xml:space="preserve">, D, and Richter, M. (2018), </w:t>
      </w:r>
      <w:r w:rsidRPr="00592353">
        <w:rPr>
          <w:rFonts w:ascii="Times New Roman" w:eastAsia="Times New Roman" w:hAnsi="Times New Roman" w:cs="Times New Roman"/>
          <w:color w:val="000000" w:themeColor="text1"/>
          <w:spacing w:val="2"/>
          <w:kern w:val="36"/>
          <w:sz w:val="20"/>
          <w:szCs w:val="20"/>
          <w:lang w:val="en"/>
        </w:rPr>
        <w:t>Lobbying in Europe: Professionals, Politicians, and Institutions Under General Suspicion?</w:t>
      </w:r>
    </w:p>
    <w:p w14:paraId="4661CEB5" w14:textId="66FD0319" w:rsidR="00592353" w:rsidRDefault="00592353">
      <w:pPr>
        <w:pStyle w:val="FootnoteText"/>
      </w:pPr>
    </w:p>
  </w:footnote>
  <w:footnote w:id="11">
    <w:p w14:paraId="0DC86517" w14:textId="71F2AFE1" w:rsidR="00051D3F" w:rsidRDefault="00051D3F" w:rsidP="00051D3F">
      <w:pPr>
        <w:pStyle w:val="FootnoteText"/>
        <w:jc w:val="both"/>
        <w:rPr>
          <w:rFonts w:ascii="Times New Roman" w:eastAsia="Times New Roman" w:hAnsi="Times New Roman" w:cs="Times New Roman"/>
          <w:spacing w:val="1"/>
        </w:rPr>
      </w:pPr>
      <w:r>
        <w:rPr>
          <w:rStyle w:val="FootnoteReference"/>
        </w:rPr>
        <w:footnoteRef/>
      </w:r>
      <w:r>
        <w:t xml:space="preserve"> </w:t>
      </w:r>
      <w:r w:rsidRPr="00051D3F">
        <w:rPr>
          <w:rFonts w:ascii="Times New Roman" w:hAnsi="Times New Roman" w:cs="Times New Roman"/>
        </w:rPr>
        <w:t>It is also argued that “</w:t>
      </w:r>
      <w:r w:rsidRPr="00051D3F">
        <w:rPr>
          <w:rFonts w:ascii="Times New Roman" w:eastAsia="Times New Roman" w:hAnsi="Times New Roman" w:cs="Times New Roman"/>
          <w:spacing w:val="1"/>
        </w:rPr>
        <w:t>literature disagrees as to the degree to which interest group resources determine an interest group’s ability to influence policy-makers (</w:t>
      </w:r>
      <w:proofErr w:type="spellStart"/>
      <w:r w:rsidRPr="00051D3F">
        <w:rPr>
          <w:rFonts w:ascii="Times New Roman" w:eastAsia="Times New Roman" w:hAnsi="Times New Roman" w:cs="Times New Roman"/>
          <w:spacing w:val="1"/>
        </w:rPr>
        <w:t>Eising</w:t>
      </w:r>
      <w:proofErr w:type="spellEnd"/>
      <w:r w:rsidR="00D3732B">
        <w:rPr>
          <w:rFonts w:ascii="Times New Roman" w:eastAsia="Times New Roman" w:hAnsi="Times New Roman" w:cs="Times New Roman"/>
          <w:spacing w:val="1"/>
        </w:rPr>
        <w:t xml:space="preserve">: </w:t>
      </w:r>
      <w:hyperlink r:id="rId3" w:anchor="CR26" w:tooltip="View reference" w:history="1">
        <w:r w:rsidRPr="00D3732B">
          <w:rPr>
            <w:rFonts w:ascii="Times New Roman" w:eastAsia="Times New Roman" w:hAnsi="Times New Roman" w:cs="Times New Roman"/>
            <w:color w:val="000000" w:themeColor="text1"/>
            <w:spacing w:val="1"/>
          </w:rPr>
          <w:t>2007</w:t>
        </w:r>
      </w:hyperlink>
      <w:r w:rsidRPr="00051D3F">
        <w:rPr>
          <w:rFonts w:ascii="Times New Roman" w:eastAsia="Times New Roman" w:hAnsi="Times New Roman" w:cs="Times New Roman"/>
          <w:spacing w:val="1"/>
        </w:rPr>
        <w:t xml:space="preserve">; </w:t>
      </w:r>
      <w:proofErr w:type="spellStart"/>
      <w:r w:rsidRPr="00051D3F">
        <w:rPr>
          <w:rFonts w:ascii="Times New Roman" w:eastAsia="Times New Roman" w:hAnsi="Times New Roman" w:cs="Times New Roman"/>
          <w:spacing w:val="1"/>
        </w:rPr>
        <w:t>Klüver</w:t>
      </w:r>
      <w:proofErr w:type="spellEnd"/>
      <w:r w:rsidR="00D3732B">
        <w:rPr>
          <w:rFonts w:ascii="Times New Roman" w:eastAsia="Times New Roman" w:hAnsi="Times New Roman" w:cs="Times New Roman"/>
          <w:spacing w:val="1"/>
        </w:rPr>
        <w:t xml:space="preserve">: </w:t>
      </w:r>
      <w:hyperlink r:id="rId4" w:anchor="CR27" w:tooltip="View reference" w:history="1">
        <w:r w:rsidRPr="00D3732B">
          <w:rPr>
            <w:rFonts w:ascii="Times New Roman" w:eastAsia="Times New Roman" w:hAnsi="Times New Roman" w:cs="Times New Roman"/>
            <w:color w:val="000000" w:themeColor="text1"/>
            <w:spacing w:val="1"/>
          </w:rPr>
          <w:t>2012</w:t>
        </w:r>
      </w:hyperlink>
      <w:r w:rsidRPr="00051D3F">
        <w:rPr>
          <w:rFonts w:ascii="Times New Roman" w:eastAsia="Times New Roman" w:hAnsi="Times New Roman" w:cs="Times New Roman"/>
          <w:spacing w:val="1"/>
        </w:rPr>
        <w:t>; Cotton</w:t>
      </w:r>
      <w:r w:rsidR="00D3732B">
        <w:rPr>
          <w:rFonts w:ascii="Times New Roman" w:eastAsia="Times New Roman" w:hAnsi="Times New Roman" w:cs="Times New Roman"/>
          <w:spacing w:val="1"/>
        </w:rPr>
        <w:t>:</w:t>
      </w:r>
      <w:hyperlink r:id="rId5" w:anchor="CR25" w:tooltip="View reference" w:history="1">
        <w:r w:rsidRPr="00D3732B">
          <w:rPr>
            <w:rFonts w:ascii="Times New Roman" w:eastAsia="Times New Roman" w:hAnsi="Times New Roman" w:cs="Times New Roman"/>
            <w:color w:val="000000" w:themeColor="text1"/>
            <w:spacing w:val="1"/>
          </w:rPr>
          <w:t>2012</w:t>
        </w:r>
      </w:hyperlink>
      <w:r w:rsidRPr="00051D3F">
        <w:rPr>
          <w:rFonts w:ascii="Times New Roman" w:eastAsia="Times New Roman" w:hAnsi="Times New Roman" w:cs="Times New Roman"/>
          <w:spacing w:val="1"/>
        </w:rPr>
        <w:t xml:space="preserve">). </w:t>
      </w:r>
    </w:p>
    <w:p w14:paraId="77986238" w14:textId="77777777" w:rsidR="00051D3F" w:rsidRDefault="00051D3F" w:rsidP="00051D3F">
      <w:pPr>
        <w:pStyle w:val="FootnoteText"/>
        <w:jc w:val="both"/>
        <w:rPr>
          <w:rFonts w:ascii="Times New Roman" w:eastAsia="Times New Roman" w:hAnsi="Times New Roman" w:cs="Times New Roman"/>
          <w:spacing w:val="1"/>
        </w:rPr>
      </w:pPr>
    </w:p>
    <w:p w14:paraId="34BF795A" w14:textId="77777777" w:rsidR="00051D3F" w:rsidRPr="00051D3F" w:rsidRDefault="00051D3F" w:rsidP="00051D3F">
      <w:pPr>
        <w:pStyle w:val="FootnoteText"/>
        <w:numPr>
          <w:ilvl w:val="0"/>
          <w:numId w:val="3"/>
        </w:numPr>
        <w:jc w:val="both"/>
      </w:pPr>
      <w:r>
        <w:rPr>
          <w:rFonts w:ascii="Times New Roman" w:eastAsia="Times New Roman" w:hAnsi="Times New Roman" w:cs="Times New Roman"/>
          <w:spacing w:val="1"/>
        </w:rPr>
        <w:t>T</w:t>
      </w:r>
      <w:r w:rsidRPr="00051D3F">
        <w:rPr>
          <w:rFonts w:ascii="Times New Roman" w:eastAsia="Times New Roman" w:hAnsi="Times New Roman" w:cs="Times New Roman"/>
          <w:spacing w:val="1"/>
        </w:rPr>
        <w:t>he size of lobbying coalitions determines an interest group’s success. Small- and medium-sized enterprises’ (SME) coalition building on the highly contested TTIP negotiations proves this argumentation although lobbying positions of SME representatives differ between Brussels-based SME associations (e.g., “European Small Business Alliance” and “</w:t>
      </w:r>
      <w:proofErr w:type="spellStart"/>
      <w:r w:rsidRPr="00051D3F">
        <w:rPr>
          <w:rFonts w:ascii="Times New Roman" w:eastAsia="Times New Roman" w:hAnsi="Times New Roman" w:cs="Times New Roman"/>
          <w:spacing w:val="1"/>
        </w:rPr>
        <w:t>Eurochambres</w:t>
      </w:r>
      <w:proofErr w:type="spellEnd"/>
      <w:r w:rsidRPr="00051D3F">
        <w:rPr>
          <w:rFonts w:ascii="Times New Roman" w:eastAsia="Times New Roman" w:hAnsi="Times New Roman" w:cs="Times New Roman"/>
          <w:spacing w:val="1"/>
        </w:rPr>
        <w:t>”) and ad hoc initiatives within single member states (</w:t>
      </w:r>
      <w:proofErr w:type="spellStart"/>
      <w:r w:rsidRPr="00051D3F">
        <w:rPr>
          <w:rFonts w:ascii="Times New Roman" w:eastAsia="Times New Roman" w:hAnsi="Times New Roman" w:cs="Times New Roman"/>
          <w:spacing w:val="1"/>
        </w:rPr>
        <w:t>Götz</w:t>
      </w:r>
      <w:proofErr w:type="spellEnd"/>
      <w:r w:rsidRPr="00051D3F">
        <w:rPr>
          <w:rFonts w:ascii="Times New Roman" w:eastAsia="Times New Roman" w:hAnsi="Times New Roman" w:cs="Times New Roman"/>
          <w:spacing w:val="1"/>
        </w:rPr>
        <w:t>, part V, Chap.  </w:t>
      </w:r>
      <w:hyperlink r:id="rId6" w:tgtFrame="_blank" w:history="1">
        <w:r w:rsidRPr="00051D3F">
          <w:rPr>
            <w:rFonts w:ascii="Times New Roman" w:eastAsia="Times New Roman" w:hAnsi="Times New Roman" w:cs="Times New Roman"/>
            <w:color w:val="4500A7"/>
            <w:spacing w:val="1"/>
            <w:u w:val="single"/>
          </w:rPr>
          <w:t>27</w:t>
        </w:r>
      </w:hyperlink>
      <w:r w:rsidRPr="00051D3F">
        <w:rPr>
          <w:rFonts w:ascii="Times New Roman" w:eastAsia="Times New Roman" w:hAnsi="Times New Roman" w:cs="Times New Roman"/>
          <w:spacing w:val="1"/>
        </w:rPr>
        <w:t xml:space="preserve">). </w:t>
      </w:r>
    </w:p>
    <w:p w14:paraId="4BCC50AC" w14:textId="4F325525" w:rsidR="00051D3F" w:rsidRDefault="00051D3F" w:rsidP="00051D3F">
      <w:pPr>
        <w:pStyle w:val="FootnoteText"/>
        <w:numPr>
          <w:ilvl w:val="0"/>
          <w:numId w:val="3"/>
        </w:numPr>
        <w:jc w:val="both"/>
      </w:pPr>
      <w:r>
        <w:rPr>
          <w:rFonts w:ascii="Times New Roman" w:eastAsia="Times New Roman" w:hAnsi="Times New Roman" w:cs="Times New Roman"/>
          <w:spacing w:val="1"/>
        </w:rPr>
        <w:t>E</w:t>
      </w:r>
      <w:r w:rsidRPr="00051D3F">
        <w:rPr>
          <w:rFonts w:ascii="Times New Roman" w:eastAsia="Times New Roman" w:hAnsi="Times New Roman" w:cs="Times New Roman"/>
          <w:spacing w:val="1"/>
        </w:rPr>
        <w:t>mphasis on the fact that business interests are only successful where conflict is low and issues remain technical and below the radar of public saliency (</w:t>
      </w:r>
      <w:proofErr w:type="spellStart"/>
      <w:r w:rsidRPr="00051D3F">
        <w:rPr>
          <w:rFonts w:ascii="Times New Roman" w:eastAsia="Times New Roman" w:hAnsi="Times New Roman" w:cs="Times New Roman"/>
          <w:spacing w:val="1"/>
        </w:rPr>
        <w:t>Klüver</w:t>
      </w:r>
      <w:proofErr w:type="spellEnd"/>
      <w:r w:rsidRPr="00051D3F">
        <w:rPr>
          <w:rFonts w:ascii="Times New Roman" w:eastAsia="Times New Roman" w:hAnsi="Times New Roman" w:cs="Times New Roman"/>
          <w:spacing w:val="1"/>
        </w:rPr>
        <w:t xml:space="preserve"> et al. </w:t>
      </w:r>
      <w:hyperlink r:id="rId7" w:anchor="CR28" w:tooltip="View reference" w:history="1">
        <w:r w:rsidRPr="00051D3F">
          <w:rPr>
            <w:rFonts w:ascii="Times New Roman" w:eastAsia="Times New Roman" w:hAnsi="Times New Roman" w:cs="Times New Roman"/>
            <w:color w:val="4500A7"/>
            <w:spacing w:val="1"/>
            <w:u w:val="single"/>
          </w:rPr>
          <w:t>2015</w:t>
        </w:r>
      </w:hyperlink>
      <w:r w:rsidRPr="00051D3F">
        <w:rPr>
          <w:rFonts w:ascii="Times New Roman" w:eastAsia="Times New Roman" w:hAnsi="Times New Roman" w:cs="Times New Roman"/>
          <w:spacing w:val="1"/>
        </w:rPr>
        <w:t>)</w:t>
      </w:r>
      <w:r>
        <w:rPr>
          <w:rFonts w:ascii="Times New Roman" w:eastAsia="Times New Roman" w:hAnsi="Times New Roman" w:cs="Times New Roman"/>
          <w:spacing w:val="1"/>
        </w:rPr>
        <w:t xml:space="preserve">; in </w:t>
      </w:r>
      <w:r w:rsidRPr="00592353">
        <w:rPr>
          <w:rFonts w:ascii="Times New Roman" w:hAnsi="Times New Roman" w:cs="Times New Roman"/>
          <w:color w:val="000000" w:themeColor="text1"/>
        </w:rPr>
        <w:t xml:space="preserve">Dialer, D, and Richter, M. (2018), </w:t>
      </w:r>
      <w:r w:rsidRPr="00592353">
        <w:rPr>
          <w:rFonts w:ascii="Times New Roman" w:eastAsia="Times New Roman" w:hAnsi="Times New Roman" w:cs="Times New Roman"/>
          <w:color w:val="000000" w:themeColor="text1"/>
          <w:spacing w:val="2"/>
          <w:kern w:val="36"/>
          <w:lang w:val="en"/>
        </w:rPr>
        <w:t>Lobbying in Europe: Professionals, Politicians, and Institutions Under General Suspicion?</w:t>
      </w:r>
    </w:p>
  </w:footnote>
  <w:footnote w:id="12">
    <w:p w14:paraId="55422090" w14:textId="0086617A" w:rsidR="007712E9" w:rsidRDefault="007712E9">
      <w:pPr>
        <w:pStyle w:val="FootnoteText"/>
      </w:pPr>
      <w:r>
        <w:rPr>
          <w:rStyle w:val="FootnoteReference"/>
        </w:rPr>
        <w:footnoteRef/>
      </w:r>
      <w:r>
        <w:t xml:space="preserve"> </w:t>
      </w:r>
      <w:r w:rsidRPr="007712E9">
        <w:rPr>
          <w:rFonts w:ascii="Times New Roman" w:hAnsi="Times New Roman" w:cs="Times New Roman"/>
        </w:rPr>
        <w:t xml:space="preserve">See Berger, H. and </w:t>
      </w:r>
      <w:proofErr w:type="spellStart"/>
      <w:r w:rsidRPr="007712E9">
        <w:rPr>
          <w:rFonts w:ascii="Times New Roman" w:hAnsi="Times New Roman" w:cs="Times New Roman"/>
        </w:rPr>
        <w:t>Badenhoop</w:t>
      </w:r>
      <w:proofErr w:type="spellEnd"/>
      <w:r w:rsidRPr="007712E9">
        <w:rPr>
          <w:rFonts w:ascii="Times New Roman" w:hAnsi="Times New Roman" w:cs="Times New Roman"/>
        </w:rPr>
        <w:t xml:space="preserve">, N. “Financial Services and Brexit: Navigating Towards Future Market Access”, European Business Organization Law Review (2018) 19:679–714 </w:t>
      </w:r>
      <w:hyperlink r:id="rId8" w:history="1">
        <w:r w:rsidR="007A1AF4" w:rsidRPr="00E52C94">
          <w:rPr>
            <w:rStyle w:val="Hyperlink"/>
            <w:rFonts w:ascii="Times New Roman" w:hAnsi="Times New Roman" w:cs="Times New Roman"/>
          </w:rPr>
          <w:t>https://doi.org/10.1007/s40804-018-0124-4</w:t>
        </w:r>
      </w:hyperlink>
      <w:r w:rsidR="007A1AF4">
        <w:rPr>
          <w:rFonts w:ascii="Times New Roman" w:hAnsi="Times New Roman" w:cs="Times New Roman"/>
        </w:rPr>
        <w:t xml:space="preserve">, particularly pages 703 to </w:t>
      </w:r>
      <w:r w:rsidR="002D072B">
        <w:rPr>
          <w:rFonts w:ascii="Times New Roman" w:hAnsi="Times New Roman" w:cs="Times New Roman"/>
        </w:rPr>
        <w:t>711</w:t>
      </w:r>
    </w:p>
  </w:footnote>
  <w:footnote w:id="13">
    <w:p w14:paraId="5A34C0BB" w14:textId="6ACCFE69" w:rsidR="00315253" w:rsidRPr="00315253" w:rsidRDefault="00315253" w:rsidP="00315253">
      <w:pPr>
        <w:jc w:val="both"/>
        <w:rPr>
          <w:rStyle w:val="citationinfo1"/>
          <w:rFonts w:ascii="Times New Roman" w:hAnsi="Times New Roman" w:cs="Times New Roman"/>
          <w:i w:val="0"/>
          <w:iCs w:val="0"/>
          <w:color w:val="000000"/>
          <w:sz w:val="20"/>
          <w:szCs w:val="20"/>
        </w:rPr>
      </w:pPr>
      <w:r w:rsidRPr="00315253">
        <w:rPr>
          <w:rStyle w:val="FootnoteReference"/>
          <w:rFonts w:ascii="Times New Roman" w:hAnsi="Times New Roman" w:cs="Times New Roman"/>
          <w:sz w:val="20"/>
          <w:szCs w:val="20"/>
        </w:rPr>
        <w:footnoteRef/>
      </w:r>
      <w:r w:rsidRPr="00315253">
        <w:rPr>
          <w:rFonts w:ascii="Times New Roman" w:hAnsi="Times New Roman" w:cs="Times New Roman"/>
          <w:sz w:val="20"/>
          <w:szCs w:val="20"/>
        </w:rPr>
        <w:t xml:space="preserve"> See Ojo,</w:t>
      </w:r>
      <w:r w:rsidR="00BA66DC">
        <w:rPr>
          <w:rFonts w:ascii="Times New Roman" w:hAnsi="Times New Roman" w:cs="Times New Roman"/>
          <w:sz w:val="20"/>
          <w:szCs w:val="20"/>
        </w:rPr>
        <w:t xml:space="preserve"> M.</w:t>
      </w:r>
      <w:r w:rsidRPr="00315253">
        <w:rPr>
          <w:rFonts w:ascii="Times New Roman" w:hAnsi="Times New Roman" w:cs="Times New Roman"/>
          <w:sz w:val="20"/>
          <w:szCs w:val="20"/>
        </w:rPr>
        <w:t xml:space="preserve"> </w:t>
      </w:r>
      <w:hyperlink r:id="rId9" w:tgtFrame="_blank" w:history="1">
        <w:r w:rsidRPr="00315253">
          <w:rPr>
            <w:rStyle w:val="Hyperlink"/>
            <w:rFonts w:ascii="Times New Roman" w:hAnsi="Times New Roman" w:cs="Times New Roman"/>
            <w:b/>
            <w:color w:val="000000"/>
            <w:sz w:val="20"/>
            <w:szCs w:val="20"/>
            <w:u w:val="none"/>
          </w:rPr>
          <w:t>Why Credit Ratings Serve a Greater Role in Emerging Economies than Industrial Nations: A Comparative Analysis between Family Firms and Concentrated Ownership Structures in South Asia</w:t>
        </w:r>
      </w:hyperlink>
      <w:r w:rsidRPr="00315253">
        <w:rPr>
          <w:rStyle w:val="nobr1"/>
          <w:rFonts w:ascii="Times New Roman" w:hAnsi="Times New Roman" w:cs="Times New Roman"/>
          <w:color w:val="000000"/>
          <w:sz w:val="20"/>
          <w:szCs w:val="20"/>
        </w:rPr>
        <w:t xml:space="preserve"> </w:t>
      </w:r>
      <w:r w:rsidRPr="00315253">
        <w:rPr>
          <w:rFonts w:ascii="Times New Roman" w:hAnsi="Times New Roman" w:cs="Times New Roman"/>
          <w:color w:val="000000"/>
          <w:sz w:val="20"/>
          <w:szCs w:val="20"/>
        </w:rPr>
        <w:br/>
      </w:r>
      <w:r w:rsidRPr="00315253">
        <w:rPr>
          <w:rStyle w:val="citationinfo1"/>
          <w:rFonts w:ascii="Times New Roman" w:hAnsi="Times New Roman" w:cs="Times New Roman"/>
          <w:i w:val="0"/>
          <w:color w:val="000000"/>
          <w:sz w:val="20"/>
          <w:szCs w:val="20"/>
        </w:rPr>
        <w:t>in</w:t>
      </w:r>
      <w:r w:rsidRPr="00315253">
        <w:rPr>
          <w:rStyle w:val="citationinfo1"/>
          <w:rFonts w:ascii="Times New Roman" w:hAnsi="Times New Roman" w:cs="Times New Roman"/>
          <w:color w:val="000000"/>
          <w:sz w:val="20"/>
          <w:szCs w:val="20"/>
        </w:rPr>
        <w:t xml:space="preserve"> Financial Market Regulations and Legal Challenges in South Asia, IGI Global Amit K. Kashyap (Gujarat National Law University, India) and Anjani Singh </w:t>
      </w:r>
      <w:proofErr w:type="spellStart"/>
      <w:r w:rsidRPr="00315253">
        <w:rPr>
          <w:rStyle w:val="citationinfo1"/>
          <w:rFonts w:ascii="Times New Roman" w:hAnsi="Times New Roman" w:cs="Times New Roman"/>
          <w:color w:val="000000"/>
          <w:sz w:val="20"/>
          <w:szCs w:val="20"/>
        </w:rPr>
        <w:t>Tomar</w:t>
      </w:r>
      <w:proofErr w:type="spellEnd"/>
      <w:r w:rsidRPr="00315253">
        <w:rPr>
          <w:rStyle w:val="citationinfo1"/>
          <w:rFonts w:ascii="Times New Roman" w:hAnsi="Times New Roman" w:cs="Times New Roman"/>
          <w:color w:val="000000"/>
          <w:sz w:val="20"/>
          <w:szCs w:val="20"/>
        </w:rPr>
        <w:t xml:space="preserve"> (Gujarat National Law University, India) (eds)  Release Date: April, 2016. Copyright © 2016. 308 pages.</w:t>
      </w:r>
    </w:p>
    <w:p w14:paraId="0A97FF8C" w14:textId="18F5C32D" w:rsidR="00315253" w:rsidRDefault="00315253">
      <w:pPr>
        <w:pStyle w:val="FootnoteText"/>
      </w:pPr>
    </w:p>
  </w:footnote>
  <w:footnote w:id="14">
    <w:p w14:paraId="084385BE" w14:textId="5059D8C4" w:rsidR="00E65210" w:rsidRDefault="00E65210" w:rsidP="00E65210">
      <w:pPr>
        <w:rPr>
          <w:rStyle w:val="citationinfo1"/>
          <w:color w:val="000000"/>
        </w:rPr>
      </w:pPr>
      <w:r>
        <w:rPr>
          <w:rStyle w:val="FootnoteReference"/>
          <w:sz w:val="20"/>
          <w:szCs w:val="20"/>
        </w:rPr>
        <w:footnoteRef/>
      </w:r>
      <w:r>
        <w:t xml:space="preserve"> </w:t>
      </w:r>
      <w:r w:rsidRPr="00E65210">
        <w:rPr>
          <w:rFonts w:ascii="Times New Roman" w:hAnsi="Times New Roman" w:cs="Times New Roman"/>
          <w:sz w:val="20"/>
          <w:szCs w:val="20"/>
        </w:rPr>
        <w:t xml:space="preserve">See Ojo, M. </w:t>
      </w:r>
      <w:hyperlink r:id="rId10" w:tgtFrame="_blank" w:history="1">
        <w:r w:rsidRPr="00E65210">
          <w:rPr>
            <w:rStyle w:val="Hyperlink"/>
            <w:rFonts w:ascii="Times New Roman" w:hAnsi="Times New Roman" w:cs="Times New Roman"/>
            <w:b/>
            <w:color w:val="000000"/>
            <w:sz w:val="20"/>
            <w:szCs w:val="20"/>
            <w:u w:val="none"/>
          </w:rPr>
          <w:t xml:space="preserve">E Commerce as a Tool for Resource Expansion: Postal Partnerships, Data Protection Legislation and the Mitigation of Implementation </w:t>
        </w:r>
        <w:proofErr w:type="spellStart"/>
        <w:r w:rsidRPr="00E65210">
          <w:rPr>
            <w:rStyle w:val="Hyperlink"/>
            <w:rFonts w:ascii="Times New Roman" w:hAnsi="Times New Roman" w:cs="Times New Roman"/>
            <w:b/>
            <w:color w:val="000000"/>
            <w:sz w:val="20"/>
            <w:szCs w:val="20"/>
            <w:u w:val="none"/>
          </w:rPr>
          <w:t>Gaps</w:t>
        </w:r>
      </w:hyperlink>
      <w:proofErr w:type="spellEnd"/>
      <w:r w:rsidRPr="00E65210">
        <w:rPr>
          <w:rFonts w:ascii="Times New Roman" w:hAnsi="Times New Roman" w:cs="Times New Roman"/>
          <w:color w:val="000000"/>
          <w:sz w:val="20"/>
          <w:szCs w:val="20"/>
        </w:rPr>
        <w:br/>
      </w:r>
      <w:r w:rsidRPr="00E65210">
        <w:rPr>
          <w:rStyle w:val="citationinfo1"/>
          <w:rFonts w:ascii="Times New Roman" w:hAnsi="Times New Roman" w:cs="Times New Roman"/>
          <w:i w:val="0"/>
          <w:color w:val="000000"/>
          <w:sz w:val="20"/>
          <w:szCs w:val="20"/>
        </w:rPr>
        <w:t>in</w:t>
      </w:r>
      <w:r w:rsidRPr="00E65210">
        <w:rPr>
          <w:rStyle w:val="citationinfo1"/>
          <w:rFonts w:ascii="Times New Roman" w:hAnsi="Times New Roman" w:cs="Times New Roman"/>
          <w:color w:val="000000"/>
          <w:sz w:val="20"/>
          <w:szCs w:val="20"/>
        </w:rPr>
        <w:t xml:space="preserve"> E-Retailing Challenges and Opportunities in the Global Marketplace </w:t>
      </w:r>
      <w:proofErr w:type="spellStart"/>
      <w:r w:rsidRPr="00E65210">
        <w:rPr>
          <w:rStyle w:val="citationinfo1"/>
          <w:rFonts w:ascii="Times New Roman" w:hAnsi="Times New Roman" w:cs="Times New Roman"/>
          <w:color w:val="000000"/>
          <w:sz w:val="20"/>
          <w:szCs w:val="20"/>
        </w:rPr>
        <w:t>Shailja</w:t>
      </w:r>
      <w:proofErr w:type="spellEnd"/>
      <w:r w:rsidRPr="00E65210">
        <w:rPr>
          <w:rStyle w:val="citationinfo1"/>
          <w:rFonts w:ascii="Times New Roman" w:hAnsi="Times New Roman" w:cs="Times New Roman"/>
          <w:color w:val="000000"/>
          <w:sz w:val="20"/>
          <w:szCs w:val="20"/>
        </w:rPr>
        <w:t xml:space="preserve"> Dixit (Amity University, India) and Amit Kumar Sinha (Amity University, India) (eds)</w:t>
      </w:r>
      <w:r w:rsidR="00315253">
        <w:rPr>
          <w:rStyle w:val="citationinfo1"/>
          <w:rFonts w:ascii="Times New Roman" w:hAnsi="Times New Roman" w:cs="Times New Roman"/>
          <w:color w:val="000000"/>
          <w:sz w:val="20"/>
          <w:szCs w:val="20"/>
        </w:rPr>
        <w:t xml:space="preserve"> </w:t>
      </w:r>
      <w:r w:rsidRPr="00E65210">
        <w:rPr>
          <w:rStyle w:val="citationinfo1"/>
          <w:rFonts w:ascii="Times New Roman" w:hAnsi="Times New Roman" w:cs="Times New Roman"/>
          <w:color w:val="000000"/>
          <w:sz w:val="20"/>
          <w:szCs w:val="20"/>
        </w:rPr>
        <w:t>Release Date: March, 2016. Copyright © 2016. 380 pages.</w:t>
      </w:r>
    </w:p>
    <w:p w14:paraId="2FF45630" w14:textId="29143BB6" w:rsidR="00E65210" w:rsidRDefault="00E652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CC74" w14:textId="77777777" w:rsidR="00B323F4" w:rsidRDefault="00B32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4F21" w14:textId="57CE132D" w:rsidR="00356311" w:rsidRDefault="00B323F4">
    <w:pPr>
      <w:pStyle w:val="Header"/>
    </w:pPr>
    <w:r>
      <w:rPr>
        <w:noProof/>
      </w:rPr>
      <mc:AlternateContent>
        <mc:Choice Requires="wps">
          <w:drawing>
            <wp:anchor distT="0" distB="0" distL="118745" distR="118745" simplePos="0" relativeHeight="251659264" behindDoc="1" locked="0" layoutInCell="1" allowOverlap="0" wp14:anchorId="17C2784C" wp14:editId="1A8DB20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Arial"/>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DF7FC3" w14:textId="343F15EC" w:rsidR="00B323F4" w:rsidRDefault="00B323F4">
                              <w:pPr>
                                <w:pStyle w:val="Header"/>
                                <w:tabs>
                                  <w:tab w:val="clear" w:pos="4680"/>
                                  <w:tab w:val="clear" w:pos="9360"/>
                                </w:tabs>
                                <w:jc w:val="center"/>
                                <w:rPr>
                                  <w:caps/>
                                  <w:color w:val="FFFFFF" w:themeColor="background1"/>
                                </w:rPr>
                              </w:pPr>
                              <w:r w:rsidRPr="00B323F4">
                                <w:rPr>
                                  <w:rFonts w:ascii="Calibri" w:eastAsia="Calibri" w:hAnsi="Calibri" w:cs="Arial"/>
                                  <w:sz w:val="20"/>
                                  <w:szCs w:val="20"/>
                                </w:rPr>
                                <w:t xml:space="preserve">©   2018-19 Marianne Ojo All rights </w:t>
                              </w:r>
                              <w:proofErr w:type="gramStart"/>
                              <w:r w:rsidRPr="00B323F4">
                                <w:rPr>
                                  <w:rFonts w:ascii="Calibri" w:eastAsia="Calibri" w:hAnsi="Calibri" w:cs="Arial"/>
                                  <w:sz w:val="20"/>
                                  <w:szCs w:val="20"/>
                                </w:rPr>
                                <w:t>reserved  Avoiding</w:t>
                              </w:r>
                              <w:proofErr w:type="gramEnd"/>
                              <w:r w:rsidRPr="00B323F4">
                                <w:rPr>
                                  <w:rFonts w:ascii="Calibri" w:eastAsia="Calibri" w:hAnsi="Calibri" w:cs="Arial"/>
                                  <w:sz w:val="20"/>
                                  <w:szCs w:val="20"/>
                                </w:rPr>
                                <w:t xml:space="preserve"> a “No Deal” Scenario: Free Trade Agreements, Citizenship and Economic Rights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C2784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Arial"/>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DF7FC3" w14:textId="343F15EC" w:rsidR="00B323F4" w:rsidRDefault="00B323F4">
                        <w:pPr>
                          <w:pStyle w:val="Header"/>
                          <w:tabs>
                            <w:tab w:val="clear" w:pos="4680"/>
                            <w:tab w:val="clear" w:pos="9360"/>
                          </w:tabs>
                          <w:jc w:val="center"/>
                          <w:rPr>
                            <w:caps/>
                            <w:color w:val="FFFFFF" w:themeColor="background1"/>
                          </w:rPr>
                        </w:pPr>
                        <w:r w:rsidRPr="00B323F4">
                          <w:rPr>
                            <w:rFonts w:ascii="Calibri" w:eastAsia="Calibri" w:hAnsi="Calibri" w:cs="Arial"/>
                            <w:sz w:val="20"/>
                            <w:szCs w:val="20"/>
                          </w:rPr>
                          <w:t xml:space="preserve">©   2018-19 Marianne Ojo All rights </w:t>
                        </w:r>
                        <w:proofErr w:type="gramStart"/>
                        <w:r w:rsidRPr="00B323F4">
                          <w:rPr>
                            <w:rFonts w:ascii="Calibri" w:eastAsia="Calibri" w:hAnsi="Calibri" w:cs="Arial"/>
                            <w:sz w:val="20"/>
                            <w:szCs w:val="20"/>
                          </w:rPr>
                          <w:t>reserved  Avoiding</w:t>
                        </w:r>
                        <w:proofErr w:type="gramEnd"/>
                        <w:r w:rsidRPr="00B323F4">
                          <w:rPr>
                            <w:rFonts w:ascii="Calibri" w:eastAsia="Calibri" w:hAnsi="Calibri" w:cs="Arial"/>
                            <w:sz w:val="20"/>
                            <w:szCs w:val="20"/>
                          </w:rPr>
                          <w:t xml:space="preserve"> a “No Deal” Scenario: Free Trade Agreements, Citizenship and Economic Rights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0747" w14:textId="77777777" w:rsidR="00B323F4" w:rsidRDefault="00B32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56C"/>
    <w:multiLevelType w:val="multilevel"/>
    <w:tmpl w:val="1F986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83771"/>
    <w:multiLevelType w:val="hybridMultilevel"/>
    <w:tmpl w:val="A3CC4A4C"/>
    <w:lvl w:ilvl="0" w:tplc="5D063F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519E9"/>
    <w:multiLevelType w:val="hybridMultilevel"/>
    <w:tmpl w:val="E63ADC84"/>
    <w:lvl w:ilvl="0" w:tplc="6F9C5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61E44"/>
    <w:multiLevelType w:val="hybridMultilevel"/>
    <w:tmpl w:val="C10A1AD6"/>
    <w:lvl w:ilvl="0" w:tplc="F7D09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E1"/>
    <w:rsid w:val="0000377D"/>
    <w:rsid w:val="0000447E"/>
    <w:rsid w:val="000168F6"/>
    <w:rsid w:val="00043A2D"/>
    <w:rsid w:val="0005075D"/>
    <w:rsid w:val="00051D3F"/>
    <w:rsid w:val="0006569D"/>
    <w:rsid w:val="000A19D4"/>
    <w:rsid w:val="00117DFC"/>
    <w:rsid w:val="00134DB2"/>
    <w:rsid w:val="00192933"/>
    <w:rsid w:val="001B6885"/>
    <w:rsid w:val="001C5261"/>
    <w:rsid w:val="001C53EA"/>
    <w:rsid w:val="001C56A4"/>
    <w:rsid w:val="001E0004"/>
    <w:rsid w:val="001E7D2D"/>
    <w:rsid w:val="001F6C2E"/>
    <w:rsid w:val="00232113"/>
    <w:rsid w:val="00244CCE"/>
    <w:rsid w:val="0026680C"/>
    <w:rsid w:val="00281FD7"/>
    <w:rsid w:val="00282703"/>
    <w:rsid w:val="002919C0"/>
    <w:rsid w:val="002A47A6"/>
    <w:rsid w:val="002B660C"/>
    <w:rsid w:val="002D072B"/>
    <w:rsid w:val="002D386A"/>
    <w:rsid w:val="002D5243"/>
    <w:rsid w:val="002E2445"/>
    <w:rsid w:val="002F53F9"/>
    <w:rsid w:val="0030369E"/>
    <w:rsid w:val="00315253"/>
    <w:rsid w:val="00344159"/>
    <w:rsid w:val="00355C3A"/>
    <w:rsid w:val="00356311"/>
    <w:rsid w:val="00392358"/>
    <w:rsid w:val="003B2E0D"/>
    <w:rsid w:val="003D783F"/>
    <w:rsid w:val="0041360E"/>
    <w:rsid w:val="00420875"/>
    <w:rsid w:val="00426A9C"/>
    <w:rsid w:val="00434E5B"/>
    <w:rsid w:val="00493E65"/>
    <w:rsid w:val="004B57D7"/>
    <w:rsid w:val="004C4699"/>
    <w:rsid w:val="004D096A"/>
    <w:rsid w:val="004E4174"/>
    <w:rsid w:val="00534430"/>
    <w:rsid w:val="00561BE1"/>
    <w:rsid w:val="00592353"/>
    <w:rsid w:val="005B5600"/>
    <w:rsid w:val="005C02A6"/>
    <w:rsid w:val="005C7236"/>
    <w:rsid w:val="005F597E"/>
    <w:rsid w:val="006021C1"/>
    <w:rsid w:val="00607E5A"/>
    <w:rsid w:val="00666186"/>
    <w:rsid w:val="006E2247"/>
    <w:rsid w:val="007256C0"/>
    <w:rsid w:val="007712E9"/>
    <w:rsid w:val="007A1AF4"/>
    <w:rsid w:val="007B0009"/>
    <w:rsid w:val="007C444C"/>
    <w:rsid w:val="00803076"/>
    <w:rsid w:val="00822FB7"/>
    <w:rsid w:val="00833C66"/>
    <w:rsid w:val="00854C01"/>
    <w:rsid w:val="008572A6"/>
    <w:rsid w:val="008815F7"/>
    <w:rsid w:val="008844BD"/>
    <w:rsid w:val="00893368"/>
    <w:rsid w:val="00896729"/>
    <w:rsid w:val="008A5096"/>
    <w:rsid w:val="008E03F5"/>
    <w:rsid w:val="008E60A4"/>
    <w:rsid w:val="0090391C"/>
    <w:rsid w:val="00922EEA"/>
    <w:rsid w:val="00930DB4"/>
    <w:rsid w:val="009933FA"/>
    <w:rsid w:val="009B1744"/>
    <w:rsid w:val="009B7A62"/>
    <w:rsid w:val="009C2419"/>
    <w:rsid w:val="009E503C"/>
    <w:rsid w:val="009F718B"/>
    <w:rsid w:val="00A64E5B"/>
    <w:rsid w:val="00A837F7"/>
    <w:rsid w:val="00A904D1"/>
    <w:rsid w:val="00A95857"/>
    <w:rsid w:val="00AF0ACF"/>
    <w:rsid w:val="00AF3767"/>
    <w:rsid w:val="00B16C78"/>
    <w:rsid w:val="00B323F4"/>
    <w:rsid w:val="00B361B1"/>
    <w:rsid w:val="00BA66DC"/>
    <w:rsid w:val="00BA7F98"/>
    <w:rsid w:val="00BC36B2"/>
    <w:rsid w:val="00BD1B57"/>
    <w:rsid w:val="00BD2FEE"/>
    <w:rsid w:val="00BF7D14"/>
    <w:rsid w:val="00C00D4A"/>
    <w:rsid w:val="00C13758"/>
    <w:rsid w:val="00C349ED"/>
    <w:rsid w:val="00C43FE6"/>
    <w:rsid w:val="00C70985"/>
    <w:rsid w:val="00CA4D50"/>
    <w:rsid w:val="00CB27D1"/>
    <w:rsid w:val="00CB478C"/>
    <w:rsid w:val="00CB6800"/>
    <w:rsid w:val="00CB6A17"/>
    <w:rsid w:val="00CD4FF0"/>
    <w:rsid w:val="00CE4169"/>
    <w:rsid w:val="00D16CD3"/>
    <w:rsid w:val="00D307FD"/>
    <w:rsid w:val="00D3732B"/>
    <w:rsid w:val="00D727AB"/>
    <w:rsid w:val="00D86C7F"/>
    <w:rsid w:val="00DA15C6"/>
    <w:rsid w:val="00DB7DBB"/>
    <w:rsid w:val="00DE703E"/>
    <w:rsid w:val="00E21ECE"/>
    <w:rsid w:val="00E22E89"/>
    <w:rsid w:val="00E42D01"/>
    <w:rsid w:val="00E65210"/>
    <w:rsid w:val="00E71B93"/>
    <w:rsid w:val="00E74B50"/>
    <w:rsid w:val="00EC1E6B"/>
    <w:rsid w:val="00EC240D"/>
    <w:rsid w:val="00EF69C3"/>
    <w:rsid w:val="00F174CC"/>
    <w:rsid w:val="00F46EE8"/>
    <w:rsid w:val="00F601C6"/>
    <w:rsid w:val="00F7117F"/>
    <w:rsid w:val="00F913EA"/>
    <w:rsid w:val="00F94D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DC5D"/>
  <w15:chartTrackingRefBased/>
  <w15:docId w15:val="{B55B9467-427F-43D9-91FC-10267D8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1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E6B"/>
    <w:rPr>
      <w:sz w:val="20"/>
      <w:szCs w:val="20"/>
    </w:rPr>
  </w:style>
  <w:style w:type="character" w:styleId="FootnoteReference">
    <w:name w:val="footnote reference"/>
    <w:basedOn w:val="DefaultParagraphFont"/>
    <w:uiPriority w:val="99"/>
    <w:semiHidden/>
    <w:unhideWhenUsed/>
    <w:rsid w:val="00EC1E6B"/>
    <w:rPr>
      <w:vertAlign w:val="superscript"/>
    </w:rPr>
  </w:style>
  <w:style w:type="character" w:styleId="Hyperlink">
    <w:name w:val="Hyperlink"/>
    <w:basedOn w:val="DefaultParagraphFont"/>
    <w:unhideWhenUsed/>
    <w:rsid w:val="003B2E0D"/>
    <w:rPr>
      <w:color w:val="0000FF"/>
      <w:u w:val="single"/>
    </w:rPr>
  </w:style>
  <w:style w:type="paragraph" w:styleId="ListParagraph">
    <w:name w:val="List Paragraph"/>
    <w:basedOn w:val="Normal"/>
    <w:uiPriority w:val="34"/>
    <w:qFormat/>
    <w:rsid w:val="0000377D"/>
    <w:pPr>
      <w:ind w:left="720"/>
      <w:contextualSpacing/>
    </w:pPr>
  </w:style>
  <w:style w:type="paragraph" w:styleId="Header">
    <w:name w:val="header"/>
    <w:basedOn w:val="Normal"/>
    <w:link w:val="HeaderChar"/>
    <w:uiPriority w:val="99"/>
    <w:unhideWhenUsed/>
    <w:rsid w:val="0035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11"/>
  </w:style>
  <w:style w:type="paragraph" w:styleId="Footer">
    <w:name w:val="footer"/>
    <w:basedOn w:val="Normal"/>
    <w:link w:val="FooterChar"/>
    <w:uiPriority w:val="99"/>
    <w:unhideWhenUsed/>
    <w:rsid w:val="0035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11"/>
  </w:style>
  <w:style w:type="character" w:styleId="UnresolvedMention">
    <w:name w:val="Unresolved Mention"/>
    <w:basedOn w:val="DefaultParagraphFont"/>
    <w:uiPriority w:val="99"/>
    <w:semiHidden/>
    <w:unhideWhenUsed/>
    <w:rsid w:val="007A1AF4"/>
    <w:rPr>
      <w:color w:val="605E5C"/>
      <w:shd w:val="clear" w:color="auto" w:fill="E1DFDD"/>
    </w:rPr>
  </w:style>
  <w:style w:type="paragraph" w:styleId="NormalWeb">
    <w:name w:val="Normal (Web)"/>
    <w:basedOn w:val="Normal"/>
    <w:uiPriority w:val="99"/>
    <w:semiHidden/>
    <w:unhideWhenUsed/>
    <w:rsid w:val="00DA15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br1">
    <w:name w:val="nobr1"/>
    <w:rsid w:val="00E65210"/>
  </w:style>
  <w:style w:type="character" w:customStyle="1" w:styleId="citationinfo1">
    <w:name w:val="citationinfo1"/>
    <w:rsid w:val="00E65210"/>
    <w:rPr>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0804-018-0124-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com/abstract=270043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rn.com/abstract=27004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13501763.2015.100879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s40804-018-0124-4" TargetMode="External"/><Relationship Id="rId3" Type="http://schemas.openxmlformats.org/officeDocument/2006/relationships/hyperlink" Target="https://rd.springer.com/chapter/10.1007/978-3-319-98800-9_1?utm_source=hybris&amp;utm_medium=email&amp;utm_content=internal&amp;utm_campaign=SBPS_2_RD_EuropeDay2019&amp;sap-outbound-id=AD4E136947D866C913351C2833F05DEA763BED7A&amp;mkt-key=005056B0331B1EE78381E74BA4B0918F" TargetMode="External"/><Relationship Id="rId7" Type="http://schemas.openxmlformats.org/officeDocument/2006/relationships/hyperlink" Target="https://rd.springer.com/chapter/10.1007/978-3-319-98800-9_1?utm_source=hybris&amp;utm_medium=email&amp;utm_content=internal&amp;utm_campaign=SBPS_2_RD_EuropeDay2019&amp;sap-outbound-id=AD4E136947D866C913351C2833F05DEA763BED7A&amp;mkt-key=005056B0331B1EE78381E74BA4B0918F" TargetMode="External"/><Relationship Id="rId2" Type="http://schemas.openxmlformats.org/officeDocument/2006/relationships/hyperlink" Target="http://www.europarl.europa.eu/ftu/pdf/en/FTU_2.1.3.pdf" TargetMode="External"/><Relationship Id="rId1" Type="http://schemas.openxmlformats.org/officeDocument/2006/relationships/hyperlink" Target="http://www.ciinnovationsd.org" TargetMode="External"/><Relationship Id="rId6" Type="http://schemas.openxmlformats.org/officeDocument/2006/relationships/hyperlink" Target="https://doi.org/10.1007/978-3-319-98800-9_27" TargetMode="External"/><Relationship Id="rId5" Type="http://schemas.openxmlformats.org/officeDocument/2006/relationships/hyperlink" Target="https://rd.springer.com/chapter/10.1007/978-3-319-98800-9_1?utm_source=hybris&amp;utm_medium=email&amp;utm_content=internal&amp;utm_campaign=SBPS_2_RD_EuropeDay2019&amp;sap-outbound-id=AD4E136947D866C913351C2833F05DEA763BED7A&amp;mkt-key=005056B0331B1EE78381E74BA4B0918F" TargetMode="External"/><Relationship Id="rId10" Type="http://schemas.openxmlformats.org/officeDocument/2006/relationships/hyperlink" Target="http://ssrn.com/abstract=2700433" TargetMode="External"/><Relationship Id="rId4" Type="http://schemas.openxmlformats.org/officeDocument/2006/relationships/hyperlink" Target="https://rd.springer.com/chapter/10.1007/978-3-319-98800-9_1?utm_source=hybris&amp;utm_medium=email&amp;utm_content=internal&amp;utm_campaign=SBPS_2_RD_EuropeDay2019&amp;sap-outbound-id=AD4E136947D866C913351C2833F05DEA763BED7A&amp;mkt-key=005056B0331B1EE78381E74BA4B0918F" TargetMode="External"/><Relationship Id="rId9" Type="http://schemas.openxmlformats.org/officeDocument/2006/relationships/hyperlink" Target="http://ssrn.com/abstract=270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C9BF-0132-45A2-AD58-19A4A0E5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2018-19 Marianne Ojo All rights reserved  Avoiding a “No Deal” Scenario: Free Trade Agreements, Citizenship and Economic Rights</dc:title>
  <dc:subject/>
  <dc:creator>Marianne Ojo</dc:creator>
  <cp:keywords/>
  <dc:description/>
  <cp:lastModifiedBy>Marianne Ojo</cp:lastModifiedBy>
  <cp:revision>107</cp:revision>
  <dcterms:created xsi:type="dcterms:W3CDTF">2019-05-09T20:45:00Z</dcterms:created>
  <dcterms:modified xsi:type="dcterms:W3CDTF">2019-05-10T02:53:00Z</dcterms:modified>
</cp:coreProperties>
</file>