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02" w:rsidRPr="002B7202" w:rsidRDefault="002B7202" w:rsidP="002B7202">
      <w:pPr>
        <w:pStyle w:val="Default"/>
        <w:spacing w:before="0" w:line="240" w:lineRule="auto"/>
        <w:jc w:val="center"/>
        <w:rPr>
          <w:rFonts w:ascii="Calibri" w:hAnsi="Calibri"/>
          <w:sz w:val="36"/>
        </w:rPr>
      </w:pPr>
      <w:r w:rsidRPr="002B7202">
        <w:rPr>
          <w:rFonts w:ascii="Calibri" w:hAnsi="Calibri"/>
          <w:sz w:val="36"/>
        </w:rPr>
        <w:t xml:space="preserve">Notes from </w:t>
      </w:r>
      <w:r>
        <w:rPr>
          <w:rFonts w:ascii="Calibri" w:hAnsi="Calibri"/>
          <w:sz w:val="36"/>
        </w:rPr>
        <w:t xml:space="preserve">Budget Shortfall </w:t>
      </w:r>
      <w:r w:rsidRPr="002B7202">
        <w:rPr>
          <w:rFonts w:ascii="Calibri" w:hAnsi="Calibri"/>
          <w:sz w:val="36"/>
        </w:rPr>
        <w:t>Planning Meeting</w:t>
      </w:r>
    </w:p>
    <w:p w:rsidR="002B7202" w:rsidRDefault="002B7202" w:rsidP="002575C4">
      <w:pPr>
        <w:pStyle w:val="Default"/>
        <w:spacing w:before="0" w:line="240" w:lineRule="auto"/>
        <w:rPr>
          <w:rFonts w:ascii="Calibri" w:hAnsi="Calibri"/>
        </w:rPr>
      </w:pPr>
    </w:p>
    <w:p w:rsidR="002575C4" w:rsidRDefault="002575C4" w:rsidP="002575C4">
      <w:pPr>
        <w:pStyle w:val="Default"/>
        <w:spacing w:before="0" w:line="240" w:lineRule="auto"/>
        <w:rPr>
          <w:rFonts w:ascii="Calibri" w:eastAsia="Calibri" w:hAnsi="Calibri" w:cs="Calibri"/>
        </w:rPr>
      </w:pPr>
      <w:r>
        <w:rPr>
          <w:rFonts w:ascii="Calibri" w:hAnsi="Calibri"/>
        </w:rPr>
        <w:t xml:space="preserve">The annual budget planning season, from September - </w:t>
      </w:r>
      <w:proofErr w:type="gramStart"/>
      <w:r>
        <w:rPr>
          <w:rFonts w:ascii="Calibri" w:hAnsi="Calibri"/>
        </w:rPr>
        <w:t>November,</w:t>
      </w:r>
      <w:proofErr w:type="gramEnd"/>
      <w:r>
        <w:rPr>
          <w:rFonts w:ascii="Calibri" w:hAnsi="Calibri"/>
        </w:rPr>
        <w:t xml:space="preserve"> has begun for boards across CVE.  This years’ budget planning is unusual due to various factors accelerating the cost for items in all building budgets.  For many buildings costs are already accelerated and show no sign of slowing down.  Associations are experiencing costs that exceed their reserves.</w:t>
      </w:r>
    </w:p>
    <w:p w:rsidR="002575C4" w:rsidRDefault="002575C4" w:rsidP="002575C4">
      <w:pPr>
        <w:pStyle w:val="Default"/>
        <w:spacing w:before="0" w:line="240" w:lineRule="auto"/>
        <w:rPr>
          <w:rFonts w:ascii="Calibri" w:eastAsia="Calibri" w:hAnsi="Calibri" w:cs="Calibri"/>
        </w:rPr>
      </w:pPr>
    </w:p>
    <w:p w:rsidR="002575C4" w:rsidRDefault="002575C4" w:rsidP="002575C4">
      <w:pPr>
        <w:pStyle w:val="Default"/>
        <w:spacing w:before="0" w:line="240" w:lineRule="auto"/>
      </w:pPr>
      <w:r>
        <w:rPr>
          <w:rFonts w:ascii="Calibri" w:hAnsi="Calibri"/>
        </w:rPr>
        <w:t xml:space="preserve">This round table seminar is to help you with information and ideas in regards to the main </w:t>
      </w:r>
      <w:proofErr w:type="gramStart"/>
      <w:r>
        <w:rPr>
          <w:rFonts w:ascii="Calibri" w:hAnsi="Calibri"/>
        </w:rPr>
        <w:t>contributors</w:t>
      </w:r>
      <w:proofErr w:type="gramEnd"/>
      <w:r>
        <w:rPr>
          <w:rFonts w:ascii="Calibri" w:hAnsi="Calibri"/>
        </w:rPr>
        <w:t xml:space="preserve"> buildings need to be aware of as potential expenses and solutions to deal with the budgeting shortfalls you might be experiencing. </w:t>
      </w:r>
    </w:p>
    <w:p w:rsidR="002575C4" w:rsidRDefault="002575C4">
      <w:pPr>
        <w:pStyle w:val="Body"/>
        <w:spacing w:before="100" w:after="100" w:line="240" w:lineRule="auto"/>
        <w:rPr>
          <w:b/>
          <w:bCs/>
          <w:sz w:val="24"/>
          <w:szCs w:val="24"/>
        </w:rPr>
      </w:pPr>
    </w:p>
    <w:p w:rsidR="009E00A5" w:rsidRDefault="00FF64B5">
      <w:pPr>
        <w:pStyle w:val="Body"/>
        <w:spacing w:before="100" w:after="100" w:line="240" w:lineRule="auto"/>
        <w:rPr>
          <w:sz w:val="24"/>
          <w:szCs w:val="24"/>
        </w:rPr>
      </w:pPr>
      <w:r>
        <w:rPr>
          <w:b/>
          <w:bCs/>
          <w:sz w:val="24"/>
          <w:szCs w:val="24"/>
        </w:rPr>
        <w:t xml:space="preserve">Planning for Reserve budgeting and huge increases </w:t>
      </w:r>
    </w:p>
    <w:p w:rsidR="009E00A5" w:rsidRDefault="00FF64B5">
      <w:pPr>
        <w:pStyle w:val="Body"/>
        <w:spacing w:before="100" w:after="100" w:line="240" w:lineRule="auto"/>
        <w:rPr>
          <w:sz w:val="24"/>
          <w:szCs w:val="24"/>
        </w:rPr>
      </w:pPr>
      <w:r>
        <w:rPr>
          <w:b/>
          <w:bCs/>
          <w:sz w:val="24"/>
          <w:szCs w:val="24"/>
        </w:rPr>
        <w:t>Areas of increases:</w:t>
      </w:r>
    </w:p>
    <w:p w:rsidR="009E00A5" w:rsidRDefault="009E00A5">
      <w:pPr>
        <w:pStyle w:val="Body"/>
        <w:numPr>
          <w:ilvl w:val="0"/>
          <w:numId w:val="2"/>
        </w:numPr>
        <w:spacing w:before="100" w:after="100" w:line="240" w:lineRule="auto"/>
        <w:rPr>
          <w:sz w:val="24"/>
          <w:szCs w:val="24"/>
        </w:rPr>
      </w:pPr>
    </w:p>
    <w:p w:rsidR="009E00A5" w:rsidRDefault="00FF64B5">
      <w:pPr>
        <w:pStyle w:val="Body"/>
        <w:numPr>
          <w:ilvl w:val="1"/>
          <w:numId w:val="2"/>
        </w:numPr>
        <w:spacing w:before="100" w:after="100" w:line="240" w:lineRule="auto"/>
        <w:rPr>
          <w:sz w:val="24"/>
          <w:szCs w:val="24"/>
        </w:rPr>
      </w:pPr>
      <w:r>
        <w:rPr>
          <w:b/>
          <w:bCs/>
          <w:sz w:val="24"/>
          <w:szCs w:val="24"/>
        </w:rPr>
        <w:t>Overall insurance-Property Insurance rate hikes @ 25%-35%</w:t>
      </w:r>
    </w:p>
    <w:p w:rsidR="009E00A5" w:rsidRDefault="00FF64B5">
      <w:pPr>
        <w:pStyle w:val="Body"/>
        <w:numPr>
          <w:ilvl w:val="1"/>
          <w:numId w:val="2"/>
        </w:numPr>
        <w:spacing w:before="100" w:after="100" w:line="240" w:lineRule="auto"/>
        <w:rPr>
          <w:sz w:val="24"/>
          <w:szCs w:val="24"/>
        </w:rPr>
      </w:pPr>
      <w:r>
        <w:rPr>
          <w:b/>
          <w:bCs/>
          <w:sz w:val="24"/>
          <w:szCs w:val="24"/>
        </w:rPr>
        <w:t>Out of pocket/deductibles (</w:t>
      </w:r>
      <w:proofErr w:type="spellStart"/>
      <w:r>
        <w:rPr>
          <w:b/>
          <w:bCs/>
          <w:sz w:val="24"/>
          <w:szCs w:val="24"/>
        </w:rPr>
        <w:t>esp</w:t>
      </w:r>
      <w:proofErr w:type="spellEnd"/>
      <w:r>
        <w:rPr>
          <w:b/>
          <w:bCs/>
          <w:sz w:val="24"/>
          <w:szCs w:val="24"/>
        </w:rPr>
        <w:t xml:space="preserve"> roof deductible)-Hurricane Deductibles increasing to 5%</w:t>
      </w:r>
    </w:p>
    <w:p w:rsidR="009E00A5" w:rsidRDefault="00FF64B5">
      <w:pPr>
        <w:pStyle w:val="Body"/>
        <w:numPr>
          <w:ilvl w:val="1"/>
          <w:numId w:val="2"/>
        </w:numPr>
        <w:spacing w:before="100" w:after="100" w:line="240" w:lineRule="auto"/>
        <w:rPr>
          <w:sz w:val="24"/>
          <w:szCs w:val="24"/>
        </w:rPr>
      </w:pPr>
      <w:r>
        <w:rPr>
          <w:b/>
          <w:bCs/>
          <w:sz w:val="24"/>
          <w:szCs w:val="24"/>
        </w:rPr>
        <w:t>Roof upgrades, replacements, AC stands</w:t>
      </w:r>
    </w:p>
    <w:p w:rsidR="009E00A5" w:rsidRDefault="00FF64B5">
      <w:pPr>
        <w:pStyle w:val="Body"/>
        <w:numPr>
          <w:ilvl w:val="1"/>
          <w:numId w:val="2"/>
        </w:numPr>
        <w:spacing w:before="100" w:after="100" w:line="240" w:lineRule="auto"/>
        <w:rPr>
          <w:sz w:val="24"/>
          <w:szCs w:val="24"/>
        </w:rPr>
      </w:pPr>
      <w:r>
        <w:rPr>
          <w:b/>
          <w:bCs/>
          <w:sz w:val="24"/>
          <w:szCs w:val="24"/>
        </w:rPr>
        <w:t>Elevators/fire alarms upgrades</w:t>
      </w:r>
    </w:p>
    <w:p w:rsidR="009E00A5" w:rsidRDefault="00FF64B5">
      <w:pPr>
        <w:pStyle w:val="Body"/>
        <w:numPr>
          <w:ilvl w:val="1"/>
          <w:numId w:val="2"/>
        </w:numPr>
        <w:spacing w:before="100" w:after="100" w:line="240" w:lineRule="auto"/>
        <w:rPr>
          <w:sz w:val="24"/>
          <w:szCs w:val="24"/>
        </w:rPr>
      </w:pPr>
      <w:r>
        <w:rPr>
          <w:b/>
          <w:bCs/>
          <w:sz w:val="24"/>
          <w:szCs w:val="24"/>
        </w:rPr>
        <w:t>Electrical panels</w:t>
      </w:r>
    </w:p>
    <w:p w:rsidR="009E00A5" w:rsidRDefault="00FF64B5">
      <w:pPr>
        <w:pStyle w:val="Body"/>
        <w:numPr>
          <w:ilvl w:val="1"/>
          <w:numId w:val="2"/>
        </w:numPr>
        <w:spacing w:before="100" w:after="100" w:line="240" w:lineRule="auto"/>
        <w:rPr>
          <w:sz w:val="24"/>
          <w:szCs w:val="24"/>
        </w:rPr>
      </w:pPr>
      <w:r>
        <w:rPr>
          <w:b/>
          <w:bCs/>
          <w:sz w:val="24"/>
          <w:szCs w:val="24"/>
        </w:rPr>
        <w:t>Concrete work</w:t>
      </w:r>
    </w:p>
    <w:p w:rsidR="009E00A5" w:rsidRDefault="00FF64B5">
      <w:pPr>
        <w:pStyle w:val="Body"/>
        <w:numPr>
          <w:ilvl w:val="1"/>
          <w:numId w:val="2"/>
        </w:numPr>
        <w:spacing w:before="100" w:after="100" w:line="240" w:lineRule="auto"/>
        <w:rPr>
          <w:sz w:val="24"/>
          <w:szCs w:val="24"/>
        </w:rPr>
      </w:pPr>
      <w:r>
        <w:rPr>
          <w:b/>
          <w:bCs/>
          <w:sz w:val="24"/>
          <w:szCs w:val="24"/>
        </w:rPr>
        <w:t>Increased attorney use</w:t>
      </w:r>
    </w:p>
    <w:p w:rsidR="009E00A5" w:rsidRDefault="00FF64B5">
      <w:pPr>
        <w:pStyle w:val="Body"/>
        <w:numPr>
          <w:ilvl w:val="1"/>
          <w:numId w:val="2"/>
        </w:numPr>
        <w:spacing w:before="100" w:after="100" w:line="240" w:lineRule="auto"/>
        <w:rPr>
          <w:sz w:val="24"/>
          <w:szCs w:val="24"/>
        </w:rPr>
      </w:pPr>
      <w:r>
        <w:rPr>
          <w:b/>
          <w:bCs/>
          <w:sz w:val="24"/>
          <w:szCs w:val="24"/>
        </w:rPr>
        <w:t>Potential defaults and non-payments</w:t>
      </w:r>
    </w:p>
    <w:p w:rsidR="009E00A5" w:rsidRDefault="00FF64B5">
      <w:pPr>
        <w:pStyle w:val="Body"/>
        <w:numPr>
          <w:ilvl w:val="1"/>
          <w:numId w:val="2"/>
        </w:numPr>
        <w:spacing w:before="100" w:after="100" w:line="240" w:lineRule="auto"/>
        <w:rPr>
          <w:sz w:val="24"/>
          <w:szCs w:val="24"/>
        </w:rPr>
      </w:pPr>
      <w:r>
        <w:rPr>
          <w:b/>
          <w:bCs/>
          <w:sz w:val="24"/>
          <w:szCs w:val="24"/>
        </w:rPr>
        <w:t>Inspections/repairs</w:t>
      </w:r>
    </w:p>
    <w:p w:rsidR="009E00A5" w:rsidRDefault="00FF64B5">
      <w:pPr>
        <w:pStyle w:val="Body"/>
        <w:numPr>
          <w:ilvl w:val="2"/>
          <w:numId w:val="2"/>
        </w:numPr>
        <w:spacing w:before="100" w:after="100" w:line="240" w:lineRule="auto"/>
        <w:rPr>
          <w:sz w:val="24"/>
          <w:szCs w:val="24"/>
        </w:rPr>
      </w:pPr>
      <w:r>
        <w:rPr>
          <w:b/>
          <w:bCs/>
          <w:sz w:val="24"/>
          <w:szCs w:val="24"/>
        </w:rPr>
        <w:t>Structural Integrity Reserve Study by 12/31/2024 - Mandatory to reserve to targets set by study</w:t>
      </w:r>
    </w:p>
    <w:p w:rsidR="009E00A5" w:rsidRPr="002B7202" w:rsidRDefault="00FF64B5">
      <w:pPr>
        <w:pStyle w:val="ListParagraph"/>
        <w:numPr>
          <w:ilvl w:val="1"/>
          <w:numId w:val="2"/>
        </w:numPr>
        <w:spacing w:before="100" w:after="100" w:line="240" w:lineRule="auto"/>
        <w:rPr>
          <w:b/>
          <w:sz w:val="24"/>
          <w:szCs w:val="24"/>
        </w:rPr>
      </w:pPr>
      <w:r w:rsidRPr="002B7202">
        <w:rPr>
          <w:b/>
          <w:sz w:val="24"/>
          <w:szCs w:val="24"/>
        </w:rPr>
        <w:t>Increased mainten</w:t>
      </w:r>
      <w:r w:rsidRPr="002B7202">
        <w:rPr>
          <w:b/>
          <w:sz w:val="24"/>
          <w:szCs w:val="24"/>
        </w:rPr>
        <w:t>ance fees</w:t>
      </w:r>
    </w:p>
    <w:p w:rsidR="009E00A5" w:rsidRPr="002B7202" w:rsidRDefault="00FF64B5">
      <w:pPr>
        <w:pStyle w:val="ListParagraph"/>
        <w:numPr>
          <w:ilvl w:val="1"/>
          <w:numId w:val="2"/>
        </w:numPr>
        <w:spacing w:before="100" w:after="100" w:line="240" w:lineRule="auto"/>
        <w:rPr>
          <w:b/>
          <w:sz w:val="24"/>
          <w:szCs w:val="24"/>
        </w:rPr>
      </w:pPr>
      <w:r w:rsidRPr="002B7202">
        <w:rPr>
          <w:b/>
          <w:sz w:val="24"/>
          <w:szCs w:val="24"/>
        </w:rPr>
        <w:t>Rising costs of goods and services</w:t>
      </w:r>
    </w:p>
    <w:p w:rsidR="009E00A5" w:rsidRDefault="009E00A5">
      <w:pPr>
        <w:pStyle w:val="ListParagraph"/>
        <w:spacing w:before="100" w:after="100" w:line="240" w:lineRule="auto"/>
        <w:ind w:left="1440"/>
        <w:rPr>
          <w:sz w:val="24"/>
          <w:szCs w:val="24"/>
        </w:rPr>
      </w:pPr>
    </w:p>
    <w:p w:rsidR="009E00A5" w:rsidRDefault="00FF64B5">
      <w:pPr>
        <w:pStyle w:val="Body"/>
        <w:spacing w:before="100" w:after="100" w:line="240" w:lineRule="auto"/>
        <w:rPr>
          <w:sz w:val="24"/>
          <w:szCs w:val="24"/>
        </w:rPr>
      </w:pPr>
      <w:r>
        <w:rPr>
          <w:b/>
          <w:bCs/>
          <w:sz w:val="24"/>
          <w:szCs w:val="24"/>
          <w:lang w:val="fr-FR"/>
        </w:rPr>
        <w:t>Possible actions:</w:t>
      </w:r>
    </w:p>
    <w:p w:rsidR="009E00A5" w:rsidRDefault="00FF64B5">
      <w:pPr>
        <w:pStyle w:val="Body"/>
        <w:numPr>
          <w:ilvl w:val="0"/>
          <w:numId w:val="4"/>
        </w:numPr>
        <w:spacing w:before="100" w:after="100" w:line="240" w:lineRule="auto"/>
        <w:rPr>
          <w:sz w:val="24"/>
          <w:szCs w:val="24"/>
        </w:rPr>
      </w:pPr>
      <w:r>
        <w:rPr>
          <w:b/>
          <w:bCs/>
          <w:sz w:val="24"/>
          <w:szCs w:val="24"/>
        </w:rPr>
        <w:t>Places you can cut or defer expenses (improvements, insurance)</w:t>
      </w:r>
    </w:p>
    <w:p w:rsidR="009E00A5" w:rsidRDefault="00FF64B5">
      <w:pPr>
        <w:pStyle w:val="Body"/>
        <w:numPr>
          <w:ilvl w:val="0"/>
          <w:numId w:val="4"/>
        </w:numPr>
        <w:spacing w:before="100" w:after="100" w:line="240" w:lineRule="auto"/>
        <w:rPr>
          <w:sz w:val="24"/>
          <w:szCs w:val="24"/>
        </w:rPr>
      </w:pPr>
      <w:r>
        <w:rPr>
          <w:b/>
          <w:bCs/>
          <w:sz w:val="24"/>
          <w:szCs w:val="24"/>
        </w:rPr>
        <w:t>Assessments/coupons</w:t>
      </w:r>
      <w:r>
        <w:rPr>
          <w:b/>
          <w:bCs/>
          <w:sz w:val="24"/>
          <w:szCs w:val="24"/>
        </w:rPr>
        <w:t>–</w:t>
      </w:r>
      <w:r>
        <w:rPr>
          <w:b/>
          <w:bCs/>
          <w:sz w:val="24"/>
          <w:szCs w:val="24"/>
        </w:rPr>
        <w:t xml:space="preserve">how soon, how much at one time, who (current </w:t>
      </w:r>
      <w:proofErr w:type="spellStart"/>
      <w:r>
        <w:rPr>
          <w:b/>
          <w:bCs/>
          <w:sz w:val="24"/>
          <w:szCs w:val="24"/>
        </w:rPr>
        <w:t>vs</w:t>
      </w:r>
      <w:proofErr w:type="spellEnd"/>
      <w:r>
        <w:rPr>
          <w:b/>
          <w:bCs/>
          <w:sz w:val="24"/>
          <w:szCs w:val="24"/>
        </w:rPr>
        <w:t xml:space="preserve"> new)?</w:t>
      </w:r>
    </w:p>
    <w:p w:rsidR="009E00A5" w:rsidRDefault="00FF64B5">
      <w:pPr>
        <w:pStyle w:val="Body"/>
        <w:numPr>
          <w:ilvl w:val="0"/>
          <w:numId w:val="4"/>
        </w:numPr>
        <w:spacing w:before="100" w:after="100" w:line="240" w:lineRule="auto"/>
        <w:rPr>
          <w:sz w:val="24"/>
          <w:szCs w:val="24"/>
        </w:rPr>
      </w:pPr>
      <w:r>
        <w:rPr>
          <w:b/>
          <w:bCs/>
          <w:sz w:val="24"/>
          <w:szCs w:val="24"/>
        </w:rPr>
        <w:t>Contract now, pay later; payment plans</w:t>
      </w:r>
    </w:p>
    <w:p w:rsidR="009E00A5" w:rsidRDefault="00FF64B5">
      <w:pPr>
        <w:pStyle w:val="Body"/>
        <w:numPr>
          <w:ilvl w:val="0"/>
          <w:numId w:val="4"/>
        </w:numPr>
        <w:spacing w:before="100" w:after="100" w:line="240" w:lineRule="auto"/>
        <w:rPr>
          <w:sz w:val="24"/>
          <w:szCs w:val="24"/>
        </w:rPr>
      </w:pPr>
      <w:r>
        <w:rPr>
          <w:b/>
          <w:bCs/>
          <w:sz w:val="24"/>
          <w:szCs w:val="24"/>
        </w:rPr>
        <w:t>Group buys</w:t>
      </w:r>
    </w:p>
    <w:p w:rsidR="009E00A5" w:rsidRDefault="00FF64B5">
      <w:pPr>
        <w:pStyle w:val="Body"/>
        <w:numPr>
          <w:ilvl w:val="0"/>
          <w:numId w:val="4"/>
        </w:numPr>
        <w:spacing w:before="100" w:after="100" w:line="240" w:lineRule="auto"/>
        <w:rPr>
          <w:sz w:val="24"/>
          <w:szCs w:val="24"/>
        </w:rPr>
      </w:pPr>
      <w:r>
        <w:rPr>
          <w:b/>
          <w:bCs/>
          <w:sz w:val="24"/>
          <w:szCs w:val="24"/>
        </w:rPr>
        <w:t>Borrowing/Lines of credit</w:t>
      </w:r>
    </w:p>
    <w:p w:rsidR="009E00A5" w:rsidRDefault="00FF64B5">
      <w:pPr>
        <w:pStyle w:val="Body"/>
        <w:numPr>
          <w:ilvl w:val="1"/>
          <w:numId w:val="4"/>
        </w:numPr>
        <w:spacing w:before="100" w:after="100" w:line="240" w:lineRule="auto"/>
        <w:rPr>
          <w:sz w:val="24"/>
          <w:szCs w:val="24"/>
        </w:rPr>
      </w:pPr>
      <w:r>
        <w:rPr>
          <w:b/>
          <w:bCs/>
          <w:sz w:val="24"/>
          <w:szCs w:val="24"/>
        </w:rPr>
        <w:lastRenderedPageBreak/>
        <w:t>Current banks–</w:t>
      </w:r>
      <w:r>
        <w:rPr>
          <w:b/>
          <w:bCs/>
          <w:sz w:val="24"/>
          <w:szCs w:val="24"/>
        </w:rPr>
        <w:t xml:space="preserve">collateral (some banks do not offer loans--e.g., </w:t>
      </w:r>
      <w:proofErr w:type="spellStart"/>
      <w:r>
        <w:rPr>
          <w:b/>
          <w:bCs/>
          <w:sz w:val="24"/>
          <w:szCs w:val="24"/>
        </w:rPr>
        <w:t>Amtrust</w:t>
      </w:r>
      <w:proofErr w:type="spellEnd"/>
      <w:r>
        <w:rPr>
          <w:b/>
          <w:bCs/>
          <w:sz w:val="24"/>
          <w:szCs w:val="24"/>
        </w:rPr>
        <w:t>)</w:t>
      </w:r>
    </w:p>
    <w:p w:rsidR="009E00A5" w:rsidRDefault="00FF64B5">
      <w:pPr>
        <w:pStyle w:val="Body"/>
        <w:numPr>
          <w:ilvl w:val="1"/>
          <w:numId w:val="4"/>
        </w:numPr>
        <w:spacing w:before="100" w:after="100" w:line="240" w:lineRule="auto"/>
        <w:rPr>
          <w:sz w:val="24"/>
          <w:szCs w:val="24"/>
        </w:rPr>
      </w:pPr>
      <w:r>
        <w:rPr>
          <w:b/>
          <w:bCs/>
          <w:sz w:val="24"/>
          <w:szCs w:val="24"/>
        </w:rPr>
        <w:t>Staging borrowing</w:t>
      </w:r>
    </w:p>
    <w:p w:rsidR="009E00A5" w:rsidRDefault="00FF64B5">
      <w:pPr>
        <w:pStyle w:val="Body"/>
        <w:numPr>
          <w:ilvl w:val="1"/>
          <w:numId w:val="4"/>
        </w:numPr>
        <w:spacing w:before="100" w:after="100" w:line="240" w:lineRule="auto"/>
        <w:rPr>
          <w:sz w:val="24"/>
          <w:szCs w:val="24"/>
        </w:rPr>
      </w:pPr>
      <w:r>
        <w:rPr>
          <w:b/>
          <w:bCs/>
          <w:sz w:val="24"/>
          <w:szCs w:val="24"/>
        </w:rPr>
        <w:t>Other</w:t>
      </w:r>
    </w:p>
    <w:p w:rsidR="002575C4" w:rsidRDefault="002575C4">
      <w:pPr>
        <w:pStyle w:val="Body"/>
        <w:rPr>
          <w:b/>
          <w:bCs/>
          <w:sz w:val="24"/>
          <w:szCs w:val="24"/>
        </w:rPr>
      </w:pPr>
    </w:p>
    <w:p w:rsidR="002575C4" w:rsidRDefault="002575C4">
      <w:pPr>
        <w:pStyle w:val="Body"/>
        <w:rPr>
          <w:b/>
          <w:bCs/>
          <w:sz w:val="24"/>
          <w:szCs w:val="24"/>
        </w:rPr>
      </w:pPr>
    </w:p>
    <w:p w:rsidR="002575C4" w:rsidRDefault="002575C4">
      <w:pPr>
        <w:pStyle w:val="Body"/>
        <w:rPr>
          <w:b/>
          <w:bCs/>
          <w:sz w:val="24"/>
          <w:szCs w:val="24"/>
        </w:rPr>
      </w:pPr>
      <w:r>
        <w:rPr>
          <w:b/>
          <w:bCs/>
          <w:sz w:val="24"/>
          <w:szCs w:val="24"/>
        </w:rPr>
        <w:t>Notes and suggestions from attendees:</w:t>
      </w:r>
    </w:p>
    <w:p w:rsidR="009E00A5" w:rsidRDefault="00FF64B5">
      <w:pPr>
        <w:pStyle w:val="Body"/>
        <w:rPr>
          <w:sz w:val="24"/>
          <w:szCs w:val="24"/>
        </w:rPr>
      </w:pPr>
      <w:r>
        <w:rPr>
          <w:sz w:val="24"/>
          <w:szCs w:val="24"/>
        </w:rPr>
        <w:t>FL Senate Bill 4-D was signed into law May 2022.  It addresses Condominium inspections and reserve requirements.  The deta</w:t>
      </w:r>
      <w:r>
        <w:rPr>
          <w:sz w:val="24"/>
          <w:szCs w:val="24"/>
        </w:rPr>
        <w:t xml:space="preserve">ils and specifics of this new Bill are still being ironed out but will affect all buildings in CVE in some way or another.  </w:t>
      </w:r>
    </w:p>
    <w:p w:rsidR="009E00A5" w:rsidRDefault="002B7202">
      <w:pPr>
        <w:pStyle w:val="Body"/>
        <w:rPr>
          <w:sz w:val="24"/>
          <w:szCs w:val="24"/>
        </w:rPr>
      </w:pPr>
      <w:r>
        <w:rPr>
          <w:sz w:val="24"/>
          <w:szCs w:val="24"/>
        </w:rPr>
        <w:t>The new Legislation will</w:t>
      </w:r>
      <w:r w:rsidR="00FF64B5">
        <w:rPr>
          <w:sz w:val="24"/>
          <w:szCs w:val="24"/>
        </w:rPr>
        <w:t xml:space="preserve"> require all hi rise buildings (three stories or more) to have a Milestone Inspection performed by a licen</w:t>
      </w:r>
      <w:r w:rsidR="00FF64B5">
        <w:rPr>
          <w:sz w:val="24"/>
          <w:szCs w:val="24"/>
        </w:rPr>
        <w:t xml:space="preserve">sed engineer before December 31, 2024 and every 10 years thereafter.  In addition, the new Legislation removes the ability of the owners to completely waive reserve funding.  Condo owners may not vote to use reserve funds, or any interest accrued thereon, </w:t>
      </w:r>
      <w:r w:rsidR="00FF64B5">
        <w:rPr>
          <w:sz w:val="24"/>
          <w:szCs w:val="24"/>
        </w:rPr>
        <w:t xml:space="preserve">from one category to pay for another (other than their intended purpose).  Associations </w:t>
      </w:r>
      <w:proofErr w:type="spellStart"/>
      <w:r w:rsidR="00FF64B5">
        <w:rPr>
          <w:sz w:val="24"/>
          <w:szCs w:val="24"/>
        </w:rPr>
        <w:t>can not</w:t>
      </w:r>
      <w:proofErr w:type="spellEnd"/>
      <w:r w:rsidR="00FF64B5">
        <w:rPr>
          <w:sz w:val="24"/>
          <w:szCs w:val="24"/>
        </w:rPr>
        <w:t xml:space="preserve"> vote to waive or partially waive reserves for items listed on the Structural Integrity Reserve Study (SIRS).</w:t>
      </w:r>
    </w:p>
    <w:p w:rsidR="009E00A5" w:rsidRDefault="00FF64B5">
      <w:pPr>
        <w:pStyle w:val="Body"/>
        <w:rPr>
          <w:sz w:val="24"/>
          <w:szCs w:val="24"/>
        </w:rPr>
      </w:pPr>
      <w:r>
        <w:rPr>
          <w:sz w:val="24"/>
          <w:szCs w:val="24"/>
        </w:rPr>
        <w:t>The SIRS will consist of the following items as rel</w:t>
      </w:r>
      <w:r>
        <w:rPr>
          <w:sz w:val="24"/>
          <w:szCs w:val="24"/>
        </w:rPr>
        <w:t>ated to the structural integrity and safety of the building:</w:t>
      </w:r>
    </w:p>
    <w:p w:rsidR="009E00A5" w:rsidRDefault="00FF64B5">
      <w:pPr>
        <w:pStyle w:val="Body"/>
        <w:numPr>
          <w:ilvl w:val="0"/>
          <w:numId w:val="6"/>
        </w:numPr>
        <w:rPr>
          <w:sz w:val="24"/>
          <w:szCs w:val="24"/>
        </w:rPr>
      </w:pPr>
      <w:r>
        <w:rPr>
          <w:sz w:val="24"/>
          <w:szCs w:val="24"/>
        </w:rPr>
        <w:t>Roof</w:t>
      </w:r>
    </w:p>
    <w:p w:rsidR="009E00A5" w:rsidRDefault="00FF64B5">
      <w:pPr>
        <w:pStyle w:val="Body"/>
        <w:numPr>
          <w:ilvl w:val="0"/>
          <w:numId w:val="6"/>
        </w:numPr>
        <w:rPr>
          <w:sz w:val="24"/>
          <w:szCs w:val="24"/>
        </w:rPr>
      </w:pPr>
      <w:r>
        <w:rPr>
          <w:sz w:val="24"/>
          <w:szCs w:val="24"/>
        </w:rPr>
        <w:t>Load-bearing walls or other primary structural members</w:t>
      </w:r>
    </w:p>
    <w:p w:rsidR="009E00A5" w:rsidRDefault="00FF64B5">
      <w:pPr>
        <w:pStyle w:val="Body"/>
        <w:numPr>
          <w:ilvl w:val="0"/>
          <w:numId w:val="6"/>
        </w:numPr>
        <w:rPr>
          <w:sz w:val="24"/>
          <w:szCs w:val="24"/>
        </w:rPr>
      </w:pPr>
      <w:r>
        <w:rPr>
          <w:sz w:val="24"/>
          <w:szCs w:val="24"/>
        </w:rPr>
        <w:t>Floor</w:t>
      </w:r>
    </w:p>
    <w:p w:rsidR="009E00A5" w:rsidRDefault="00FF64B5">
      <w:pPr>
        <w:pStyle w:val="Body"/>
        <w:numPr>
          <w:ilvl w:val="0"/>
          <w:numId w:val="6"/>
        </w:numPr>
        <w:rPr>
          <w:sz w:val="24"/>
          <w:szCs w:val="24"/>
        </w:rPr>
      </w:pPr>
      <w:r>
        <w:rPr>
          <w:sz w:val="24"/>
          <w:szCs w:val="24"/>
        </w:rPr>
        <w:t>Foundation</w:t>
      </w:r>
    </w:p>
    <w:p w:rsidR="009E00A5" w:rsidRDefault="00FF64B5">
      <w:pPr>
        <w:pStyle w:val="Body"/>
        <w:numPr>
          <w:ilvl w:val="0"/>
          <w:numId w:val="6"/>
        </w:numPr>
        <w:rPr>
          <w:sz w:val="24"/>
          <w:szCs w:val="24"/>
        </w:rPr>
      </w:pPr>
      <w:r>
        <w:rPr>
          <w:sz w:val="24"/>
          <w:szCs w:val="24"/>
        </w:rPr>
        <w:t>Fireproofing and fire protection systems</w:t>
      </w:r>
    </w:p>
    <w:p w:rsidR="009E00A5" w:rsidRDefault="00FF64B5">
      <w:pPr>
        <w:pStyle w:val="Body"/>
        <w:numPr>
          <w:ilvl w:val="0"/>
          <w:numId w:val="6"/>
        </w:numPr>
        <w:rPr>
          <w:sz w:val="24"/>
          <w:szCs w:val="24"/>
        </w:rPr>
      </w:pPr>
      <w:r>
        <w:rPr>
          <w:sz w:val="24"/>
          <w:szCs w:val="24"/>
        </w:rPr>
        <w:t xml:space="preserve">Plumbing </w:t>
      </w:r>
    </w:p>
    <w:p w:rsidR="009E00A5" w:rsidRDefault="00FF64B5">
      <w:pPr>
        <w:pStyle w:val="Body"/>
        <w:numPr>
          <w:ilvl w:val="0"/>
          <w:numId w:val="6"/>
        </w:numPr>
        <w:rPr>
          <w:sz w:val="24"/>
          <w:szCs w:val="24"/>
        </w:rPr>
      </w:pPr>
      <w:r>
        <w:rPr>
          <w:sz w:val="24"/>
          <w:szCs w:val="24"/>
        </w:rPr>
        <w:t xml:space="preserve">Electrical systems </w:t>
      </w:r>
    </w:p>
    <w:p w:rsidR="009E00A5" w:rsidRDefault="00FF64B5">
      <w:pPr>
        <w:pStyle w:val="Body"/>
        <w:numPr>
          <w:ilvl w:val="0"/>
          <w:numId w:val="6"/>
        </w:numPr>
        <w:rPr>
          <w:sz w:val="24"/>
          <w:szCs w:val="24"/>
        </w:rPr>
      </w:pPr>
      <w:r>
        <w:rPr>
          <w:sz w:val="24"/>
          <w:szCs w:val="24"/>
        </w:rPr>
        <w:t xml:space="preserve">Waterproofing and exterior painting </w:t>
      </w:r>
    </w:p>
    <w:p w:rsidR="009E00A5" w:rsidRDefault="00FF64B5">
      <w:pPr>
        <w:pStyle w:val="Body"/>
        <w:numPr>
          <w:ilvl w:val="0"/>
          <w:numId w:val="6"/>
        </w:numPr>
        <w:rPr>
          <w:sz w:val="24"/>
          <w:szCs w:val="24"/>
        </w:rPr>
      </w:pPr>
      <w:r>
        <w:rPr>
          <w:sz w:val="24"/>
          <w:szCs w:val="24"/>
        </w:rPr>
        <w:t>Windows</w:t>
      </w:r>
    </w:p>
    <w:p w:rsidR="009E00A5" w:rsidRDefault="00FF64B5">
      <w:pPr>
        <w:pStyle w:val="Body"/>
        <w:numPr>
          <w:ilvl w:val="0"/>
          <w:numId w:val="6"/>
        </w:numPr>
        <w:rPr>
          <w:sz w:val="24"/>
          <w:szCs w:val="24"/>
        </w:rPr>
      </w:pPr>
      <w:r>
        <w:rPr>
          <w:sz w:val="24"/>
          <w:szCs w:val="24"/>
        </w:rPr>
        <w:t xml:space="preserve">Any other item that has a deferred maintenance expense or replacement cost that exceeds $10,000 and the failure to replace or maintain such item negatively affects any other structural integrity component, as determined by a licensed architect or engineer </w:t>
      </w:r>
      <w:r>
        <w:rPr>
          <w:sz w:val="24"/>
          <w:szCs w:val="24"/>
        </w:rPr>
        <w:t>performing the visual inspection portion of the SIRS.</w:t>
      </w:r>
    </w:p>
    <w:p w:rsidR="009E00A5" w:rsidRDefault="009E00A5">
      <w:pPr>
        <w:pStyle w:val="Body"/>
        <w:rPr>
          <w:sz w:val="24"/>
          <w:szCs w:val="24"/>
        </w:rPr>
      </w:pPr>
    </w:p>
    <w:p w:rsidR="009E00A5" w:rsidRDefault="009E00A5">
      <w:pPr>
        <w:pStyle w:val="Body"/>
        <w:rPr>
          <w:sz w:val="24"/>
          <w:szCs w:val="24"/>
        </w:rPr>
      </w:pPr>
    </w:p>
    <w:p w:rsidR="009E00A5" w:rsidRDefault="009E00A5">
      <w:pPr>
        <w:pStyle w:val="Default"/>
        <w:spacing w:before="0" w:line="240" w:lineRule="auto"/>
        <w:rPr>
          <w:rFonts w:ascii="Calibri" w:eastAsia="Calibri" w:hAnsi="Calibri" w:cs="Calibri"/>
          <w:b/>
          <w:bCs/>
        </w:rPr>
      </w:pPr>
    </w:p>
    <w:p w:rsidR="009E00A5" w:rsidRDefault="002575C4">
      <w:pPr>
        <w:pStyle w:val="Default"/>
        <w:spacing w:before="0" w:line="240" w:lineRule="auto"/>
        <w:rPr>
          <w:rFonts w:ascii="Calibri" w:eastAsia="Calibri" w:hAnsi="Calibri" w:cs="Calibri"/>
        </w:rPr>
      </w:pPr>
      <w:r w:rsidRPr="002575C4">
        <w:rPr>
          <w:rFonts w:ascii="Calibri" w:hAnsi="Calibri"/>
          <w:bCs/>
        </w:rPr>
        <w:t>Possible w</w:t>
      </w:r>
      <w:r w:rsidR="00FF64B5" w:rsidRPr="002575C4">
        <w:rPr>
          <w:rFonts w:ascii="Calibri" w:hAnsi="Calibri"/>
          <w:bCs/>
        </w:rPr>
        <w:t>ays to lower the price of Building Insurance Premium while also lowering your coverage</w:t>
      </w:r>
      <w:r w:rsidR="002346DA">
        <w:rPr>
          <w:rFonts w:ascii="Calibri" w:hAnsi="Calibri"/>
          <w:bCs/>
        </w:rPr>
        <w:t xml:space="preserve">, but lots of discussion about taking extreme caution and possible consequences of doing without these </w:t>
      </w:r>
      <w:proofErr w:type="spellStart"/>
      <w:proofErr w:type="gramStart"/>
      <w:r w:rsidR="002346DA">
        <w:rPr>
          <w:rFonts w:ascii="Calibri" w:hAnsi="Calibri"/>
          <w:bCs/>
        </w:rPr>
        <w:t>coverages</w:t>
      </w:r>
      <w:proofErr w:type="spellEnd"/>
      <w:r w:rsidR="002346DA">
        <w:rPr>
          <w:rFonts w:ascii="Calibri" w:hAnsi="Calibri"/>
          <w:bCs/>
        </w:rPr>
        <w:t xml:space="preserve"> </w:t>
      </w:r>
      <w:r w:rsidR="00FF64B5" w:rsidRPr="002575C4">
        <w:rPr>
          <w:rFonts w:ascii="Calibri" w:hAnsi="Calibri"/>
          <w:bCs/>
        </w:rPr>
        <w:t>:</w:t>
      </w:r>
      <w:proofErr w:type="gramEnd"/>
      <w:r w:rsidR="002346DA">
        <w:rPr>
          <w:rFonts w:ascii="Calibri" w:hAnsi="Calibri"/>
        </w:rPr>
        <w:t xml:space="preserve"> </w:t>
      </w:r>
    </w:p>
    <w:p w:rsidR="009E00A5" w:rsidRDefault="00FF64B5">
      <w:pPr>
        <w:pStyle w:val="Default"/>
        <w:spacing w:before="0" w:line="240" w:lineRule="auto"/>
        <w:rPr>
          <w:rFonts w:ascii="Calibri" w:eastAsia="Calibri" w:hAnsi="Calibri" w:cs="Calibri"/>
        </w:rPr>
      </w:pPr>
      <w:r>
        <w:rPr>
          <w:rFonts w:ascii="Calibri" w:hAnsi="Calibri"/>
        </w:rPr>
        <w:t> </w:t>
      </w:r>
    </w:p>
    <w:p w:rsidR="009E00A5" w:rsidRDefault="00FF64B5">
      <w:pPr>
        <w:pStyle w:val="Default"/>
        <w:numPr>
          <w:ilvl w:val="0"/>
          <w:numId w:val="7"/>
        </w:numPr>
        <w:spacing w:before="0" w:line="240" w:lineRule="auto"/>
        <w:rPr>
          <w:rFonts w:ascii="Calibri" w:hAnsi="Calibri"/>
        </w:rPr>
      </w:pPr>
      <w:r>
        <w:rPr>
          <w:rFonts w:ascii="Calibri" w:hAnsi="Calibri"/>
        </w:rPr>
        <w:t>Lower or remove your Umbrella policy</w:t>
      </w:r>
    </w:p>
    <w:p w:rsidR="009E00A5" w:rsidRDefault="00FF64B5">
      <w:pPr>
        <w:pStyle w:val="Default"/>
        <w:numPr>
          <w:ilvl w:val="0"/>
          <w:numId w:val="7"/>
        </w:numPr>
        <w:spacing w:before="0" w:line="240" w:lineRule="auto"/>
        <w:rPr>
          <w:rFonts w:ascii="Calibri" w:hAnsi="Calibri"/>
        </w:rPr>
      </w:pPr>
      <w:r>
        <w:rPr>
          <w:rFonts w:ascii="Calibri" w:hAnsi="Calibri"/>
        </w:rPr>
        <w:t>Lower the amount of Ordinance &amp; Law coverage</w:t>
      </w:r>
    </w:p>
    <w:p w:rsidR="009E00A5" w:rsidRDefault="009E00A5">
      <w:pPr>
        <w:pStyle w:val="Default"/>
        <w:spacing w:before="0" w:line="240" w:lineRule="auto"/>
        <w:rPr>
          <w:rFonts w:ascii="Calibri" w:eastAsia="Calibri" w:hAnsi="Calibri" w:cs="Calibri"/>
        </w:rPr>
      </w:pPr>
    </w:p>
    <w:p w:rsidR="002575C4" w:rsidRDefault="002575C4">
      <w:pPr>
        <w:pStyle w:val="Default"/>
        <w:spacing w:before="0" w:line="240" w:lineRule="auto"/>
        <w:rPr>
          <w:rFonts w:ascii="Calibri" w:hAnsi="Calibri"/>
        </w:rPr>
      </w:pPr>
      <w:r>
        <w:rPr>
          <w:rFonts w:ascii="Calibri" w:hAnsi="Calibri"/>
        </w:rPr>
        <w:t>Consider requiring owners to buy their own condo insurance:</w:t>
      </w:r>
    </w:p>
    <w:p w:rsidR="009E00A5" w:rsidRDefault="009E00A5">
      <w:pPr>
        <w:pStyle w:val="Default"/>
        <w:spacing w:before="0" w:line="240" w:lineRule="auto"/>
        <w:rPr>
          <w:rFonts w:ascii="Calibri" w:eastAsia="Calibri" w:hAnsi="Calibri" w:cs="Calibri"/>
        </w:rPr>
      </w:pPr>
    </w:p>
    <w:p w:rsidR="009E00A5" w:rsidRPr="002575C4" w:rsidRDefault="00FF64B5" w:rsidP="002575C4">
      <w:pPr>
        <w:pStyle w:val="Default"/>
        <w:numPr>
          <w:ilvl w:val="0"/>
          <w:numId w:val="8"/>
        </w:numPr>
        <w:spacing w:before="0" w:line="240" w:lineRule="auto"/>
        <w:rPr>
          <w:rFonts w:ascii="Calibri" w:eastAsia="Calibri" w:hAnsi="Calibri" w:cs="Calibri"/>
        </w:rPr>
      </w:pPr>
      <w:r>
        <w:rPr>
          <w:rFonts w:ascii="Calibri" w:hAnsi="Calibri"/>
        </w:rPr>
        <w:t>Individual condo owners insurance has a provision called HO6, Loss Assessment Coverage, up to $2000 towards a special ass</w:t>
      </w:r>
      <w:r>
        <w:rPr>
          <w:rFonts w:ascii="Calibri" w:hAnsi="Calibri"/>
        </w:rPr>
        <w:t>essment resulting from an insurance claim by the building not fully paid for by the association</w:t>
      </w:r>
      <w:r>
        <w:rPr>
          <w:rFonts w:ascii="Calibri" w:hAnsi="Calibri"/>
        </w:rPr>
        <w:t>’</w:t>
      </w:r>
      <w:r>
        <w:rPr>
          <w:rFonts w:ascii="Calibri" w:hAnsi="Calibri"/>
        </w:rPr>
        <w:t xml:space="preserve">s policy.  If the condo association has to pay a high deductible due to hurricane or fire damage to the building or an injury to a person in a common area, the </w:t>
      </w:r>
      <w:r>
        <w:rPr>
          <w:rFonts w:ascii="Calibri" w:hAnsi="Calibri"/>
        </w:rPr>
        <w:t>assessment levied to owners by the condo, up to $2000</w:t>
      </w:r>
      <w:proofErr w:type="gramStart"/>
      <w:r>
        <w:rPr>
          <w:rFonts w:ascii="Calibri" w:hAnsi="Calibri"/>
        </w:rPr>
        <w:t>,  would</w:t>
      </w:r>
      <w:proofErr w:type="gramEnd"/>
      <w:r>
        <w:rPr>
          <w:rFonts w:ascii="Calibri" w:hAnsi="Calibri"/>
        </w:rPr>
        <w:t xml:space="preserve"> be covered by the HO6 provision, depending on the coverage you maintain.</w:t>
      </w:r>
    </w:p>
    <w:p w:rsidR="002575C4" w:rsidRDefault="002575C4" w:rsidP="002575C4">
      <w:pPr>
        <w:pStyle w:val="Default"/>
        <w:spacing w:before="0" w:line="240" w:lineRule="auto"/>
        <w:ind w:firstLine="720"/>
        <w:rPr>
          <w:rFonts w:ascii="Calibri" w:hAnsi="Calibri"/>
        </w:rPr>
      </w:pPr>
    </w:p>
    <w:p w:rsidR="002575C4" w:rsidRDefault="002575C4" w:rsidP="002575C4">
      <w:pPr>
        <w:pStyle w:val="Default"/>
        <w:spacing w:before="0" w:line="240" w:lineRule="auto"/>
        <w:ind w:firstLine="720"/>
        <w:rPr>
          <w:rFonts w:ascii="Calibri" w:eastAsia="Calibri" w:hAnsi="Calibri" w:cs="Calibri"/>
        </w:rPr>
      </w:pPr>
      <w:r>
        <w:rPr>
          <w:rFonts w:ascii="Calibri" w:hAnsi="Calibri"/>
        </w:rPr>
        <w:t xml:space="preserve">Note: Condo insurance isn't required in Florida, but your condo association may still require you to purchase coverage, if it is in the bylaws.  </w:t>
      </w:r>
    </w:p>
    <w:p w:rsidR="002575C4" w:rsidRDefault="002575C4" w:rsidP="002575C4">
      <w:pPr>
        <w:pStyle w:val="Default"/>
        <w:spacing w:before="0" w:line="240" w:lineRule="auto"/>
        <w:ind w:left="720"/>
        <w:rPr>
          <w:rFonts w:ascii="Calibri" w:eastAsia="Calibri" w:hAnsi="Calibri" w:cs="Calibri"/>
        </w:rPr>
      </w:pPr>
    </w:p>
    <w:p w:rsidR="009E00A5" w:rsidRDefault="009E00A5">
      <w:pPr>
        <w:pStyle w:val="Default"/>
        <w:spacing w:before="0" w:line="240" w:lineRule="auto"/>
        <w:rPr>
          <w:rFonts w:ascii="Calibri" w:eastAsia="Calibri" w:hAnsi="Calibri" w:cs="Calibri"/>
        </w:rPr>
      </w:pPr>
    </w:p>
    <w:p w:rsidR="009E00A5" w:rsidRDefault="00FF64B5" w:rsidP="002575C4">
      <w:pPr>
        <w:pStyle w:val="Default"/>
        <w:spacing w:before="0" w:line="240" w:lineRule="auto"/>
        <w:rPr>
          <w:rFonts w:ascii="Calibri" w:eastAsia="Calibri" w:hAnsi="Calibri" w:cs="Calibri"/>
        </w:rPr>
      </w:pPr>
      <w:r>
        <w:rPr>
          <w:rFonts w:ascii="Calibri" w:hAnsi="Calibri"/>
        </w:rPr>
        <w:t xml:space="preserve">Some buildings have owner volunteers who do odd jobs to save money for the condo.  However, please be aware if </w:t>
      </w:r>
      <w:r w:rsidR="002B7202">
        <w:rPr>
          <w:rFonts w:ascii="Calibri" w:hAnsi="Calibri"/>
        </w:rPr>
        <w:t xml:space="preserve">the work is unsatisfactory or </w:t>
      </w:r>
      <w:r>
        <w:rPr>
          <w:rFonts w:ascii="Calibri" w:hAnsi="Calibri"/>
        </w:rPr>
        <w:t>an injury</w:t>
      </w:r>
      <w:r>
        <w:rPr>
          <w:rFonts w:ascii="Calibri" w:hAnsi="Calibri"/>
        </w:rPr>
        <w:t xml:space="preserve"> occurs to the volunteer or as a result of the work done, the association may be responsible.  If you want to use your residents as volunteers, consider getting a workers</w:t>
      </w:r>
      <w:r w:rsidR="002B7202">
        <w:rPr>
          <w:rFonts w:ascii="Calibri" w:hAnsi="Calibri"/>
        </w:rPr>
        <w:t>’</w:t>
      </w:r>
      <w:r>
        <w:rPr>
          <w:rFonts w:ascii="Calibri" w:hAnsi="Calibri"/>
        </w:rPr>
        <w:t xml:space="preserve"> comp provision as part of your insurance.</w:t>
      </w:r>
    </w:p>
    <w:p w:rsidR="009E00A5" w:rsidRDefault="009E00A5">
      <w:pPr>
        <w:pStyle w:val="Default"/>
        <w:spacing w:before="0" w:line="240" w:lineRule="auto"/>
        <w:rPr>
          <w:rFonts w:ascii="Calibri" w:eastAsia="Calibri" w:hAnsi="Calibri" w:cs="Calibri"/>
        </w:rPr>
      </w:pPr>
    </w:p>
    <w:p w:rsidR="009E00A5" w:rsidRDefault="00FF64B5">
      <w:pPr>
        <w:pStyle w:val="Default"/>
        <w:spacing w:before="0" w:line="240" w:lineRule="auto"/>
        <w:rPr>
          <w:rFonts w:ascii="Calibri" w:hAnsi="Calibri"/>
        </w:rPr>
      </w:pPr>
      <w:r>
        <w:rPr>
          <w:rFonts w:ascii="Calibri" w:hAnsi="Calibri"/>
        </w:rPr>
        <w:t>Some building</w:t>
      </w:r>
      <w:r w:rsidR="002575C4">
        <w:rPr>
          <w:rFonts w:ascii="Calibri" w:hAnsi="Calibri"/>
        </w:rPr>
        <w:t xml:space="preserve">s </w:t>
      </w:r>
      <w:r>
        <w:rPr>
          <w:rFonts w:ascii="Calibri" w:hAnsi="Calibri"/>
        </w:rPr>
        <w:t>have delayed vanity and land</w:t>
      </w:r>
      <w:r>
        <w:rPr>
          <w:rFonts w:ascii="Calibri" w:hAnsi="Calibri"/>
        </w:rPr>
        <w:t>scaping projects as well as updating their bylaws to save money</w:t>
      </w:r>
      <w:r w:rsidR="002575C4">
        <w:rPr>
          <w:rFonts w:ascii="Calibri" w:hAnsi="Calibri"/>
        </w:rPr>
        <w:t xml:space="preserve"> (buying mulch in bulk; using permanent stones or ground cover instead of mulch; </w:t>
      </w:r>
      <w:proofErr w:type="gramStart"/>
      <w:r w:rsidR="002575C4">
        <w:rPr>
          <w:rFonts w:ascii="Calibri" w:hAnsi="Calibri"/>
        </w:rPr>
        <w:t>delaying  catwalk</w:t>
      </w:r>
      <w:proofErr w:type="gramEnd"/>
      <w:r w:rsidR="002575C4">
        <w:rPr>
          <w:rFonts w:ascii="Calibri" w:hAnsi="Calibri"/>
        </w:rPr>
        <w:t xml:space="preserve"> resurfacing, building painting)</w:t>
      </w:r>
      <w:r>
        <w:rPr>
          <w:rFonts w:ascii="Calibri" w:hAnsi="Calibri"/>
        </w:rPr>
        <w:t>.</w:t>
      </w:r>
    </w:p>
    <w:p w:rsidR="002575C4" w:rsidRDefault="002575C4">
      <w:pPr>
        <w:pStyle w:val="Default"/>
        <w:spacing w:before="0" w:line="240" w:lineRule="auto"/>
        <w:rPr>
          <w:rFonts w:ascii="Calibri" w:hAnsi="Calibri"/>
        </w:rPr>
      </w:pPr>
    </w:p>
    <w:p w:rsidR="002575C4" w:rsidRDefault="002B7202">
      <w:pPr>
        <w:pStyle w:val="Default"/>
        <w:spacing w:before="0" w:line="240" w:lineRule="auto"/>
        <w:rPr>
          <w:rFonts w:ascii="Calibri" w:eastAsia="Calibri" w:hAnsi="Calibri" w:cs="Calibri"/>
        </w:rPr>
      </w:pPr>
      <w:r>
        <w:rPr>
          <w:rFonts w:ascii="Calibri" w:hAnsi="Calibri"/>
        </w:rPr>
        <w:t>Possibly</w:t>
      </w:r>
      <w:r w:rsidR="002575C4">
        <w:rPr>
          <w:rFonts w:ascii="Calibri" w:hAnsi="Calibri"/>
        </w:rPr>
        <w:t xml:space="preserve"> increase laundry costs or group buys on washer/dryers.</w:t>
      </w:r>
    </w:p>
    <w:p w:rsidR="009E00A5" w:rsidRDefault="009E00A5">
      <w:pPr>
        <w:pStyle w:val="Default"/>
        <w:spacing w:before="0" w:line="240" w:lineRule="auto"/>
        <w:rPr>
          <w:rFonts w:ascii="Calibri" w:eastAsia="Calibri" w:hAnsi="Calibri" w:cs="Calibri"/>
        </w:rPr>
      </w:pPr>
    </w:p>
    <w:p w:rsidR="009E00A5" w:rsidRDefault="002575C4">
      <w:pPr>
        <w:pStyle w:val="Default"/>
        <w:spacing w:before="0" w:line="240" w:lineRule="auto"/>
        <w:rPr>
          <w:rFonts w:ascii="Calibri" w:eastAsia="Calibri" w:hAnsi="Calibri" w:cs="Calibri"/>
        </w:rPr>
      </w:pPr>
      <w:r>
        <w:rPr>
          <w:rFonts w:ascii="Calibri" w:hAnsi="Calibri"/>
        </w:rPr>
        <w:t xml:space="preserve">Suggested resource: </w:t>
      </w:r>
      <w:r w:rsidR="00FF64B5">
        <w:rPr>
          <w:rFonts w:ascii="Calibri" w:hAnsi="Calibri"/>
        </w:rPr>
        <w:t xml:space="preserve">The </w:t>
      </w:r>
      <w:r w:rsidR="00FF64B5" w:rsidRPr="002575C4">
        <w:rPr>
          <w:rFonts w:ascii="Calibri" w:hAnsi="Calibri"/>
          <w:b/>
        </w:rPr>
        <w:t>Florida Community Association Journal</w:t>
      </w:r>
      <w:r w:rsidR="00FF64B5">
        <w:rPr>
          <w:rFonts w:ascii="Calibri" w:hAnsi="Calibri"/>
        </w:rPr>
        <w:t xml:space="preserve"> is a resource for all associations to read and stay up to date with the new laws affecting all Condos in Florida.  In addition, it discusses cost cu</w:t>
      </w:r>
      <w:r w:rsidR="00FF64B5">
        <w:rPr>
          <w:rFonts w:ascii="Calibri" w:hAnsi="Calibri"/>
        </w:rPr>
        <w:t xml:space="preserve">tting ideas and various topics related to condo associations. The website is </w:t>
      </w:r>
      <w:hyperlink r:id="rId7" w:history="1">
        <w:r w:rsidR="00FF64B5">
          <w:rPr>
            <w:rStyle w:val="Hyperlink0"/>
            <w:rFonts w:ascii="Calibri" w:hAnsi="Calibri"/>
          </w:rPr>
          <w:t>www.fcapgroup.com</w:t>
        </w:r>
      </w:hyperlink>
      <w:r w:rsidR="00FF64B5">
        <w:rPr>
          <w:rFonts w:ascii="Calibri" w:hAnsi="Calibri"/>
        </w:rPr>
        <w:t xml:space="preserve">. </w:t>
      </w:r>
    </w:p>
    <w:p w:rsidR="009E00A5" w:rsidRDefault="009E00A5">
      <w:pPr>
        <w:pStyle w:val="Default"/>
        <w:spacing w:before="0" w:line="240" w:lineRule="auto"/>
        <w:rPr>
          <w:rFonts w:ascii="Calibri" w:eastAsia="Calibri" w:hAnsi="Calibri" w:cs="Calibri"/>
        </w:rPr>
      </w:pPr>
    </w:p>
    <w:p w:rsidR="009E00A5" w:rsidRDefault="00FF64B5">
      <w:pPr>
        <w:pStyle w:val="Default"/>
        <w:spacing w:before="0" w:line="240" w:lineRule="auto"/>
        <w:rPr>
          <w:rFonts w:ascii="Calibri" w:hAnsi="Calibri"/>
        </w:rPr>
      </w:pPr>
      <w:r>
        <w:rPr>
          <w:rFonts w:ascii="Calibri" w:hAnsi="Calibri"/>
        </w:rPr>
        <w:t>Similar size</w:t>
      </w:r>
      <w:r w:rsidR="002575C4">
        <w:rPr>
          <w:rFonts w:ascii="Calibri" w:hAnsi="Calibri"/>
        </w:rPr>
        <w:t>d</w:t>
      </w:r>
      <w:r>
        <w:rPr>
          <w:rFonts w:ascii="Calibri" w:hAnsi="Calibri"/>
        </w:rPr>
        <w:t xml:space="preserve"> building</w:t>
      </w:r>
      <w:r w:rsidR="002575C4">
        <w:rPr>
          <w:rFonts w:ascii="Calibri" w:hAnsi="Calibri"/>
        </w:rPr>
        <w:t>s</w:t>
      </w:r>
      <w:r>
        <w:rPr>
          <w:rFonts w:ascii="Calibri" w:hAnsi="Calibri"/>
        </w:rPr>
        <w:t xml:space="preserve"> may want to communicate with each other to look into group buying to reduce costs.  A vendor mig</w:t>
      </w:r>
      <w:r>
        <w:rPr>
          <w:rFonts w:ascii="Calibri" w:hAnsi="Calibri"/>
        </w:rPr>
        <w:t>ht be willing to give discounts if a group of buildings make one larger volume purchase.</w:t>
      </w:r>
      <w:r w:rsidR="002575C4">
        <w:rPr>
          <w:rFonts w:ascii="Calibri" w:hAnsi="Calibri"/>
        </w:rPr>
        <w:t xml:space="preserve">  NOTE: a volunteer group is forming to investigate various cost-savings group buying options.</w:t>
      </w:r>
    </w:p>
    <w:p w:rsidR="002B7202" w:rsidRDefault="002B7202">
      <w:pPr>
        <w:pStyle w:val="Default"/>
        <w:spacing w:before="0" w:line="240" w:lineRule="auto"/>
        <w:rPr>
          <w:rFonts w:ascii="Calibri" w:hAnsi="Calibri"/>
        </w:rPr>
      </w:pPr>
    </w:p>
    <w:p w:rsidR="002B7202" w:rsidRPr="002346DA" w:rsidRDefault="002B7202">
      <w:pPr>
        <w:pStyle w:val="Default"/>
        <w:spacing w:before="0" w:line="240" w:lineRule="auto"/>
        <w:rPr>
          <w:rFonts w:ascii="Calibri" w:hAnsi="Calibri"/>
          <w:b/>
        </w:rPr>
      </w:pPr>
      <w:r w:rsidRPr="002346DA">
        <w:rPr>
          <w:rFonts w:ascii="Calibri" w:hAnsi="Calibri"/>
          <w:b/>
        </w:rPr>
        <w:lastRenderedPageBreak/>
        <w:t>Additional comments:</w:t>
      </w:r>
    </w:p>
    <w:p w:rsidR="002B7202" w:rsidRDefault="002B7202" w:rsidP="002B7202">
      <w:pPr>
        <w:pStyle w:val="Default"/>
        <w:numPr>
          <w:ilvl w:val="1"/>
          <w:numId w:val="7"/>
        </w:numPr>
        <w:spacing w:before="0" w:line="240" w:lineRule="auto"/>
        <w:rPr>
          <w:rFonts w:ascii="Calibri" w:eastAsia="Calibri" w:hAnsi="Calibri" w:cs="Calibri"/>
        </w:rPr>
      </w:pPr>
      <w:r>
        <w:rPr>
          <w:rFonts w:ascii="Calibri" w:eastAsia="Calibri" w:hAnsi="Calibri" w:cs="Calibri"/>
        </w:rPr>
        <w:t>Wait till the dust settles with the state law before beginning structural inspections.  Make contacts now with structural engineers and discuss plans, but wait at least several months to see changes in deadlines, requirements, etc.</w:t>
      </w:r>
    </w:p>
    <w:p w:rsidR="002B7202" w:rsidRDefault="002346DA" w:rsidP="002B7202">
      <w:pPr>
        <w:pStyle w:val="Default"/>
        <w:numPr>
          <w:ilvl w:val="0"/>
          <w:numId w:val="9"/>
        </w:numPr>
        <w:spacing w:before="0" w:line="240" w:lineRule="auto"/>
        <w:rPr>
          <w:rFonts w:ascii="Calibri" w:eastAsia="Calibri" w:hAnsi="Calibri" w:cs="Calibri"/>
        </w:rPr>
      </w:pPr>
      <w:r>
        <w:rPr>
          <w:rFonts w:ascii="Calibri" w:eastAsia="Calibri" w:hAnsi="Calibri" w:cs="Calibri"/>
        </w:rPr>
        <w:t>Many buildings are exploring lines of credit or low interest loans with their banks which hold their main accounts.</w:t>
      </w:r>
    </w:p>
    <w:p w:rsidR="002346DA" w:rsidRDefault="002346DA" w:rsidP="002B7202">
      <w:pPr>
        <w:pStyle w:val="Default"/>
        <w:numPr>
          <w:ilvl w:val="0"/>
          <w:numId w:val="9"/>
        </w:numPr>
        <w:spacing w:before="0" w:line="240" w:lineRule="auto"/>
        <w:rPr>
          <w:rFonts w:ascii="Calibri" w:eastAsia="Calibri" w:hAnsi="Calibri" w:cs="Calibri"/>
        </w:rPr>
      </w:pPr>
      <w:r>
        <w:rPr>
          <w:rFonts w:ascii="Calibri" w:eastAsia="Calibri" w:hAnsi="Calibri" w:cs="Calibri"/>
        </w:rPr>
        <w:t>Could create a ‘Catastrophe Fund’ that owners pay into and are repaid when they sell  (@38.19)</w:t>
      </w:r>
    </w:p>
    <w:p w:rsidR="002346DA" w:rsidRDefault="002346DA" w:rsidP="002B7202">
      <w:pPr>
        <w:pStyle w:val="Default"/>
        <w:numPr>
          <w:ilvl w:val="0"/>
          <w:numId w:val="9"/>
        </w:numPr>
        <w:spacing w:before="0" w:line="240" w:lineRule="auto"/>
        <w:rPr>
          <w:rFonts w:ascii="Calibri" w:eastAsia="Calibri" w:hAnsi="Calibri" w:cs="Calibri"/>
        </w:rPr>
      </w:pPr>
      <w:r>
        <w:rPr>
          <w:rFonts w:ascii="Calibri" w:eastAsia="Calibri" w:hAnsi="Calibri" w:cs="Calibri"/>
        </w:rPr>
        <w:t xml:space="preserve">Suggested increasing </w:t>
      </w:r>
      <w:r w:rsidR="00786E82">
        <w:rPr>
          <w:rFonts w:ascii="Calibri" w:eastAsia="Calibri" w:hAnsi="Calibri" w:cs="Calibri"/>
        </w:rPr>
        <w:t>monthly fees rather than doing big chunk assessments in order to spread the pain</w:t>
      </w:r>
    </w:p>
    <w:p w:rsidR="00786E82" w:rsidRDefault="00786E82" w:rsidP="002B7202">
      <w:pPr>
        <w:pStyle w:val="Default"/>
        <w:numPr>
          <w:ilvl w:val="0"/>
          <w:numId w:val="9"/>
        </w:numPr>
        <w:spacing w:before="0" w:line="240" w:lineRule="auto"/>
        <w:rPr>
          <w:rFonts w:ascii="Calibri" w:eastAsia="Calibri" w:hAnsi="Calibri" w:cs="Calibri"/>
        </w:rPr>
      </w:pPr>
      <w:r>
        <w:rPr>
          <w:rFonts w:ascii="Calibri" w:eastAsia="Calibri" w:hAnsi="Calibri" w:cs="Calibri"/>
        </w:rPr>
        <w:t xml:space="preserve">Major discussion of cost of roof replacement </w:t>
      </w:r>
      <w:proofErr w:type="spellStart"/>
      <w:r>
        <w:rPr>
          <w:rFonts w:ascii="Calibri" w:eastAsia="Calibri" w:hAnsi="Calibri" w:cs="Calibri"/>
        </w:rPr>
        <w:t>vs</w:t>
      </w:r>
      <w:proofErr w:type="spellEnd"/>
      <w:r>
        <w:rPr>
          <w:rFonts w:ascii="Calibri" w:eastAsia="Calibri" w:hAnsi="Calibri" w:cs="Calibri"/>
        </w:rPr>
        <w:t xml:space="preserve"> increasing cost of insurance and deductibles and inability to support costs; roofs will likely end up being uninsurable; buildings now extensively exploring insurance costs with insurers before adequately budgeting</w:t>
      </w:r>
    </w:p>
    <w:p w:rsidR="00786E82" w:rsidRDefault="00786E82" w:rsidP="002B7202">
      <w:pPr>
        <w:pStyle w:val="Default"/>
        <w:numPr>
          <w:ilvl w:val="0"/>
          <w:numId w:val="9"/>
        </w:numPr>
        <w:spacing w:before="0" w:line="240" w:lineRule="auto"/>
        <w:rPr>
          <w:rFonts w:ascii="Calibri" w:eastAsia="Calibri" w:hAnsi="Calibri" w:cs="Calibri"/>
        </w:rPr>
      </w:pPr>
      <w:r>
        <w:rPr>
          <w:rFonts w:ascii="Calibri" w:eastAsia="Calibri" w:hAnsi="Calibri" w:cs="Calibri"/>
        </w:rPr>
        <w:t>Share costs of roofs, repairs, reserve increases, etc. between buildings to help everyone plan</w:t>
      </w:r>
    </w:p>
    <w:p w:rsidR="00786E82" w:rsidRDefault="00786E82" w:rsidP="002B7202">
      <w:pPr>
        <w:pStyle w:val="Default"/>
        <w:numPr>
          <w:ilvl w:val="0"/>
          <w:numId w:val="9"/>
        </w:numPr>
        <w:spacing w:before="0" w:line="240" w:lineRule="auto"/>
        <w:rPr>
          <w:rFonts w:ascii="Calibri" w:eastAsia="Calibri" w:hAnsi="Calibri" w:cs="Calibri"/>
        </w:rPr>
      </w:pPr>
      <w:r>
        <w:rPr>
          <w:rFonts w:ascii="Calibri" w:eastAsia="Calibri" w:hAnsi="Calibri" w:cs="Calibri"/>
        </w:rPr>
        <w:t>Lots of discussion about the benefits of pooling and what will be allowed under the new law and who needs to approve the change in methods</w:t>
      </w:r>
    </w:p>
    <w:p w:rsidR="00786E82" w:rsidRDefault="00786E82" w:rsidP="002B7202">
      <w:pPr>
        <w:pStyle w:val="Default"/>
        <w:numPr>
          <w:ilvl w:val="0"/>
          <w:numId w:val="9"/>
        </w:numPr>
        <w:spacing w:before="0" w:line="240" w:lineRule="auto"/>
        <w:rPr>
          <w:rFonts w:ascii="Calibri" w:eastAsia="Calibri" w:hAnsi="Calibri" w:cs="Calibri"/>
        </w:rPr>
      </w:pPr>
      <w:r>
        <w:rPr>
          <w:rFonts w:ascii="Calibri" w:eastAsia="Calibri" w:hAnsi="Calibri" w:cs="Calibri"/>
        </w:rPr>
        <w:t>Possible self-insurance village-wide</w:t>
      </w:r>
    </w:p>
    <w:p w:rsidR="00786E82" w:rsidRDefault="00786E82" w:rsidP="002B7202">
      <w:pPr>
        <w:pStyle w:val="Default"/>
        <w:numPr>
          <w:ilvl w:val="0"/>
          <w:numId w:val="9"/>
        </w:numPr>
        <w:spacing w:before="0" w:line="240" w:lineRule="auto"/>
        <w:rPr>
          <w:rFonts w:ascii="Calibri" w:eastAsia="Calibri" w:hAnsi="Calibri" w:cs="Calibri"/>
        </w:rPr>
      </w:pPr>
      <w:r>
        <w:rPr>
          <w:rFonts w:ascii="Calibri" w:eastAsia="Calibri" w:hAnsi="Calibri" w:cs="Calibri"/>
        </w:rPr>
        <w:t xml:space="preserve">How to fund unexpected major expenses (like underground water leaks, concrete problems, </w:t>
      </w:r>
      <w:r w:rsidR="00B64A71">
        <w:rPr>
          <w:rFonts w:ascii="Calibri" w:eastAsia="Calibri" w:hAnsi="Calibri" w:cs="Calibri"/>
        </w:rPr>
        <w:t xml:space="preserve">electrical panels, </w:t>
      </w:r>
      <w:r>
        <w:rPr>
          <w:rFonts w:ascii="Calibri" w:eastAsia="Calibri" w:hAnsi="Calibri" w:cs="Calibri"/>
        </w:rPr>
        <w:t>etc.)</w:t>
      </w:r>
    </w:p>
    <w:p w:rsidR="00B64A71" w:rsidRDefault="00B64A71" w:rsidP="002B7202">
      <w:pPr>
        <w:pStyle w:val="Default"/>
        <w:numPr>
          <w:ilvl w:val="0"/>
          <w:numId w:val="9"/>
        </w:numPr>
        <w:spacing w:before="0" w:line="240" w:lineRule="auto"/>
        <w:rPr>
          <w:rFonts w:ascii="Calibri" w:eastAsia="Calibri" w:hAnsi="Calibri" w:cs="Calibri"/>
        </w:rPr>
      </w:pPr>
      <w:r>
        <w:rPr>
          <w:rFonts w:ascii="Calibri" w:eastAsia="Calibri" w:hAnsi="Calibri" w:cs="Calibri"/>
        </w:rPr>
        <w:t xml:space="preserve">Stressed importance of communicating to owners about coming increases.  Sample letters are posted at </w:t>
      </w:r>
      <w:hyperlink r:id="rId8" w:history="1">
        <w:r w:rsidRPr="00DC7CCE">
          <w:rPr>
            <w:rStyle w:val="Hyperlink"/>
            <w:rFonts w:ascii="Calibri" w:eastAsia="Calibri" w:hAnsi="Calibri" w:cs="Calibri"/>
          </w:rPr>
          <w:t>https://coocve.com/association-sample-forms</w:t>
        </w:r>
      </w:hyperlink>
      <w:r>
        <w:rPr>
          <w:rFonts w:ascii="Calibri" w:eastAsia="Calibri" w:hAnsi="Calibri" w:cs="Calibri"/>
        </w:rPr>
        <w:t xml:space="preserve"> </w:t>
      </w:r>
    </w:p>
    <w:p w:rsidR="00B64A71" w:rsidRDefault="00B64A71" w:rsidP="002B7202">
      <w:pPr>
        <w:pStyle w:val="Default"/>
        <w:numPr>
          <w:ilvl w:val="0"/>
          <w:numId w:val="9"/>
        </w:numPr>
        <w:spacing w:before="0" w:line="240" w:lineRule="auto"/>
        <w:rPr>
          <w:rFonts w:ascii="Calibri" w:eastAsia="Calibri" w:hAnsi="Calibri" w:cs="Calibri"/>
        </w:rPr>
      </w:pPr>
      <w:r>
        <w:rPr>
          <w:rFonts w:ascii="Calibri" w:eastAsia="Calibri" w:hAnsi="Calibri" w:cs="Calibri"/>
        </w:rPr>
        <w:t>Reinforced the fiduciary duty of boards and how they need to fund reserves because they will be legally liable if they don’t</w:t>
      </w:r>
    </w:p>
    <w:p w:rsidR="009E00A5" w:rsidRDefault="009E00A5">
      <w:pPr>
        <w:pStyle w:val="Default"/>
        <w:spacing w:before="0" w:line="240" w:lineRule="auto"/>
        <w:rPr>
          <w:rFonts w:ascii="Calibri" w:eastAsia="Calibri" w:hAnsi="Calibri" w:cs="Calibri"/>
        </w:rPr>
      </w:pPr>
    </w:p>
    <w:p w:rsidR="009E00A5" w:rsidRDefault="009E00A5">
      <w:pPr>
        <w:pStyle w:val="Default"/>
        <w:spacing w:before="0" w:line="240" w:lineRule="auto"/>
        <w:rPr>
          <w:rFonts w:ascii="Calibri" w:eastAsia="Calibri" w:hAnsi="Calibri" w:cs="Calibri"/>
        </w:rPr>
      </w:pPr>
    </w:p>
    <w:sectPr w:rsidR="009E00A5" w:rsidSect="009E00A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4B5" w:rsidRDefault="00FF64B5" w:rsidP="009E00A5">
      <w:r>
        <w:separator/>
      </w:r>
    </w:p>
  </w:endnote>
  <w:endnote w:type="continuationSeparator" w:id="0">
    <w:p w:rsidR="00FF64B5" w:rsidRDefault="00FF64B5" w:rsidP="009E00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A5" w:rsidRDefault="009E00A5">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4B5" w:rsidRDefault="00FF64B5" w:rsidP="009E00A5">
      <w:r>
        <w:separator/>
      </w:r>
    </w:p>
  </w:footnote>
  <w:footnote w:type="continuationSeparator" w:id="0">
    <w:p w:rsidR="00FF64B5" w:rsidRDefault="00FF64B5" w:rsidP="009E0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0A5" w:rsidRDefault="009E00A5">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62E1"/>
    <w:multiLevelType w:val="hybridMultilevel"/>
    <w:tmpl w:val="3C6A3E5C"/>
    <w:styleLink w:val="ImportedStyle1"/>
    <w:lvl w:ilvl="0" w:tplc="A45E3B2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C094C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6D2BA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C4E0D8A">
      <w:start w:val="1"/>
      <w:numFmt w:val="bullet"/>
      <w:lvlText w:val="▪"/>
      <w:lvlJc w:val="left"/>
      <w:pPr>
        <w:tabs>
          <w:tab w:val="left" w:pos="21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2CE540C">
      <w:start w:val="1"/>
      <w:numFmt w:val="bullet"/>
      <w:lvlText w:val="▪"/>
      <w:lvlJc w:val="left"/>
      <w:pPr>
        <w:tabs>
          <w:tab w:val="left" w:pos="21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C70A63E">
      <w:start w:val="1"/>
      <w:numFmt w:val="bullet"/>
      <w:lvlText w:val="▪"/>
      <w:lvlJc w:val="left"/>
      <w:pPr>
        <w:tabs>
          <w:tab w:val="left" w:pos="21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A52E382">
      <w:start w:val="1"/>
      <w:numFmt w:val="bullet"/>
      <w:lvlText w:val="▪"/>
      <w:lvlJc w:val="left"/>
      <w:pPr>
        <w:tabs>
          <w:tab w:val="left" w:pos="21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622096A">
      <w:start w:val="1"/>
      <w:numFmt w:val="bullet"/>
      <w:lvlText w:val="▪"/>
      <w:lvlJc w:val="left"/>
      <w:pPr>
        <w:tabs>
          <w:tab w:val="left" w:pos="21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09B86">
      <w:start w:val="1"/>
      <w:numFmt w:val="bullet"/>
      <w:lvlText w:val="▪"/>
      <w:lvlJc w:val="left"/>
      <w:pPr>
        <w:tabs>
          <w:tab w:val="left" w:pos="21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1B651733"/>
    <w:multiLevelType w:val="hybridMultilevel"/>
    <w:tmpl w:val="3C6A3E5C"/>
    <w:numStyleLink w:val="ImportedStyle1"/>
  </w:abstractNum>
  <w:abstractNum w:abstractNumId="2">
    <w:nsid w:val="21B26F12"/>
    <w:multiLevelType w:val="hybridMultilevel"/>
    <w:tmpl w:val="9FCE3014"/>
    <w:numStyleLink w:val="Numbered"/>
  </w:abstractNum>
  <w:abstractNum w:abstractNumId="3">
    <w:nsid w:val="5CB2549D"/>
    <w:multiLevelType w:val="hybridMultilevel"/>
    <w:tmpl w:val="9FCE3014"/>
    <w:styleLink w:val="Numbered"/>
    <w:lvl w:ilvl="0" w:tplc="B6A437D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680807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368383A">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3226894">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4DB6D724">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2B0A836E">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5BCB28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6F465FB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DA0E048C">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6C845D82"/>
    <w:multiLevelType w:val="hybridMultilevel"/>
    <w:tmpl w:val="2DBE3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84369"/>
    <w:multiLevelType w:val="hybridMultilevel"/>
    <w:tmpl w:val="B3FC3E64"/>
    <w:styleLink w:val="ImportedStyle2"/>
    <w:lvl w:ilvl="0" w:tplc="E78EF9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2CE622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A20ABF6">
      <w:start w:val="1"/>
      <w:numFmt w:val="bullet"/>
      <w:lvlText w:val="▪"/>
      <w:lvlJc w:val="left"/>
      <w:pPr>
        <w:tabs>
          <w:tab w:val="left" w:pos="14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CBEA19E">
      <w:start w:val="1"/>
      <w:numFmt w:val="bullet"/>
      <w:lvlText w:val="▪"/>
      <w:lvlJc w:val="left"/>
      <w:pPr>
        <w:tabs>
          <w:tab w:val="left" w:pos="14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1F2836C">
      <w:start w:val="1"/>
      <w:numFmt w:val="bullet"/>
      <w:lvlText w:val="▪"/>
      <w:lvlJc w:val="left"/>
      <w:pPr>
        <w:tabs>
          <w:tab w:val="left" w:pos="144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2C8A0E6">
      <w:start w:val="1"/>
      <w:numFmt w:val="bullet"/>
      <w:lvlText w:val="▪"/>
      <w:lvlJc w:val="left"/>
      <w:pPr>
        <w:tabs>
          <w:tab w:val="left" w:pos="14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FBE0A48">
      <w:start w:val="1"/>
      <w:numFmt w:val="bullet"/>
      <w:lvlText w:val="▪"/>
      <w:lvlJc w:val="left"/>
      <w:pPr>
        <w:tabs>
          <w:tab w:val="left" w:pos="14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1B2397A">
      <w:start w:val="1"/>
      <w:numFmt w:val="bullet"/>
      <w:lvlText w:val="▪"/>
      <w:lvlJc w:val="left"/>
      <w:pPr>
        <w:tabs>
          <w:tab w:val="left" w:pos="14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5EE21CE">
      <w:start w:val="1"/>
      <w:numFmt w:val="bullet"/>
      <w:lvlText w:val="▪"/>
      <w:lvlJc w:val="left"/>
      <w:pPr>
        <w:tabs>
          <w:tab w:val="left" w:pos="14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76E451A1"/>
    <w:multiLevelType w:val="hybridMultilevel"/>
    <w:tmpl w:val="B3FC3E64"/>
    <w:numStyleLink w:val="ImportedStyle2"/>
  </w:abstractNum>
  <w:abstractNum w:abstractNumId="7">
    <w:nsid w:val="7A1706A7"/>
    <w:multiLevelType w:val="hybridMultilevel"/>
    <w:tmpl w:val="9E48BCE0"/>
    <w:lvl w:ilvl="0" w:tplc="F7E0E018">
      <w:start w:val="2"/>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2"/>
    <w:lvlOverride w:ilvl="0">
      <w:startOverride w:val="1"/>
      <w:lvl w:ilvl="0" w:tplc="4AE82364">
        <w:start w:val="1"/>
        <w:numFmt w:val="decimal"/>
        <w:lvlText w:val="%1."/>
        <w:lvlJc w:val="left"/>
        <w:pPr>
          <w:ind w:left="720" w:hanging="5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A940960">
        <w:start w:val="1"/>
        <w:numFmt w:val="decimal"/>
        <w:lvlText w:val="%2."/>
        <w:lvlJc w:val="left"/>
        <w:pPr>
          <w:ind w:left="8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52A6642">
        <w:start w:val="1"/>
        <w:numFmt w:val="decimal"/>
        <w:lvlText w:val="%3."/>
        <w:lvlJc w:val="left"/>
        <w:pPr>
          <w:ind w:left="10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D9A3D24">
        <w:start w:val="1"/>
        <w:numFmt w:val="decimal"/>
        <w:lvlText w:val="%4."/>
        <w:lvlJc w:val="left"/>
        <w:pPr>
          <w:ind w:left="12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46263BC">
        <w:start w:val="1"/>
        <w:numFmt w:val="decimal"/>
        <w:lvlText w:val="%5."/>
        <w:lvlJc w:val="left"/>
        <w:pPr>
          <w:ind w:left="147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F063EAE">
        <w:start w:val="1"/>
        <w:numFmt w:val="decimal"/>
        <w:lvlText w:val="%6."/>
        <w:lvlJc w:val="left"/>
        <w:pPr>
          <w:ind w:left="169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AFC9470">
        <w:start w:val="1"/>
        <w:numFmt w:val="decimal"/>
        <w:lvlText w:val="%7."/>
        <w:lvlJc w:val="left"/>
        <w:pPr>
          <w:ind w:left="191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59C774E">
        <w:start w:val="1"/>
        <w:numFmt w:val="decimal"/>
        <w:lvlText w:val="%8."/>
        <w:lvlJc w:val="left"/>
        <w:pPr>
          <w:ind w:left="213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70A04300">
        <w:start w:val="1"/>
        <w:numFmt w:val="decimal"/>
        <w:lvlText w:val="%9."/>
        <w:lvlJc w:val="left"/>
        <w:pPr>
          <w:ind w:left="2355" w:hanging="37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9E00A5"/>
    <w:rsid w:val="002346DA"/>
    <w:rsid w:val="002575C4"/>
    <w:rsid w:val="002B7202"/>
    <w:rsid w:val="00786E82"/>
    <w:rsid w:val="009E00A5"/>
    <w:rsid w:val="00B64A71"/>
    <w:rsid w:val="00FF6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00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00A5"/>
    <w:rPr>
      <w:u w:val="single"/>
    </w:rPr>
  </w:style>
  <w:style w:type="paragraph" w:customStyle="1" w:styleId="HeaderFooter">
    <w:name w:val="Header &amp; Footer"/>
    <w:rsid w:val="009E00A5"/>
    <w:pPr>
      <w:tabs>
        <w:tab w:val="right" w:pos="9020"/>
      </w:tabs>
    </w:pPr>
    <w:rPr>
      <w:rFonts w:ascii="Helvetica Neue" w:hAnsi="Helvetica Neue" w:cs="Arial Unicode MS"/>
      <w:color w:val="000000"/>
      <w:sz w:val="24"/>
      <w:szCs w:val="24"/>
      <w:shd w:val="nil"/>
    </w:rPr>
  </w:style>
  <w:style w:type="paragraph" w:customStyle="1" w:styleId="Body">
    <w:name w:val="Body"/>
    <w:rsid w:val="009E00A5"/>
    <w:pPr>
      <w:spacing w:after="160" w:line="259" w:lineRule="auto"/>
    </w:pPr>
    <w:rPr>
      <w:rFonts w:ascii="Calibri" w:hAnsi="Calibri" w:cs="Arial Unicode MS"/>
      <w:color w:val="000000"/>
      <w:sz w:val="22"/>
      <w:szCs w:val="22"/>
      <w:u w:color="000000"/>
      <w:shd w:val="nil"/>
    </w:rPr>
  </w:style>
  <w:style w:type="numbering" w:customStyle="1" w:styleId="ImportedStyle1">
    <w:name w:val="Imported Style 1"/>
    <w:rsid w:val="009E00A5"/>
    <w:pPr>
      <w:numPr>
        <w:numId w:val="1"/>
      </w:numPr>
    </w:pPr>
  </w:style>
  <w:style w:type="paragraph" w:styleId="ListParagraph">
    <w:name w:val="List Paragraph"/>
    <w:rsid w:val="009E00A5"/>
    <w:pPr>
      <w:spacing w:after="160" w:line="259" w:lineRule="auto"/>
      <w:ind w:left="720"/>
    </w:pPr>
    <w:rPr>
      <w:rFonts w:ascii="Calibri" w:hAnsi="Calibri" w:cs="Arial Unicode MS"/>
      <w:color w:val="000000"/>
      <w:sz w:val="22"/>
      <w:szCs w:val="22"/>
      <w:u w:color="000000"/>
      <w:shd w:val="nil"/>
    </w:rPr>
  </w:style>
  <w:style w:type="numbering" w:customStyle="1" w:styleId="ImportedStyle2">
    <w:name w:val="Imported Style 2"/>
    <w:rsid w:val="009E00A5"/>
    <w:pPr>
      <w:numPr>
        <w:numId w:val="3"/>
      </w:numPr>
    </w:pPr>
  </w:style>
  <w:style w:type="numbering" w:customStyle="1" w:styleId="Numbered">
    <w:name w:val="Numbered"/>
    <w:rsid w:val="009E00A5"/>
    <w:pPr>
      <w:numPr>
        <w:numId w:val="5"/>
      </w:numPr>
    </w:pPr>
  </w:style>
  <w:style w:type="paragraph" w:customStyle="1" w:styleId="Default">
    <w:name w:val="Default"/>
    <w:rsid w:val="009E00A5"/>
    <w:pPr>
      <w:spacing w:before="160" w:line="288" w:lineRule="auto"/>
    </w:pPr>
    <w:rPr>
      <w:rFonts w:ascii="Helvetica Neue" w:eastAsia="Helvetica Neue" w:hAnsi="Helvetica Neue" w:cs="Helvetica Neue"/>
      <w:color w:val="000000"/>
      <w:sz w:val="24"/>
      <w:szCs w:val="24"/>
      <w:shd w:val="nil"/>
    </w:rPr>
  </w:style>
  <w:style w:type="character" w:customStyle="1" w:styleId="Hyperlink0">
    <w:name w:val="Hyperlink.0"/>
    <w:basedOn w:val="Hyperlink"/>
    <w:rsid w:val="009E00A5"/>
    <w:rPr>
      <w:outline w:val="0"/>
      <w:color w:val="0563C1"/>
      <w:u w:val="single" w:color="0563C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coocve.com/association-sample-forms" TargetMode="External"/><Relationship Id="rId3" Type="http://schemas.openxmlformats.org/officeDocument/2006/relationships/settings" Target="settings.xml"/><Relationship Id="rId7" Type="http://schemas.openxmlformats.org/officeDocument/2006/relationships/hyperlink" Target="http://www.fcapgrou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Dell302</cp:lastModifiedBy>
  <cp:revision>2</cp:revision>
  <dcterms:created xsi:type="dcterms:W3CDTF">2022-08-29T17:37:00Z</dcterms:created>
  <dcterms:modified xsi:type="dcterms:W3CDTF">2022-08-30T19:04:00Z</dcterms:modified>
</cp:coreProperties>
</file>