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575"/>
        <w:gridCol w:w="3775"/>
      </w:tblGrid>
      <w:tr w:rsidR="00841802" w:rsidRPr="00CD388C" w14:paraId="0D922F73" w14:textId="77777777" w:rsidTr="00841802">
        <w:trPr>
          <w:trHeight w:val="710"/>
        </w:trPr>
        <w:tc>
          <w:tcPr>
            <w:tcW w:w="9350" w:type="dxa"/>
            <w:gridSpan w:val="2"/>
            <w:vAlign w:val="center"/>
          </w:tcPr>
          <w:p w14:paraId="65A7EEA0" w14:textId="03A408D9" w:rsidR="00841802" w:rsidRPr="00841802" w:rsidRDefault="00841802" w:rsidP="00841802">
            <w:pPr>
              <w:jc w:val="center"/>
              <w:rPr>
                <w:rFonts w:ascii="Times New Roman" w:hAnsi="Times New Roman" w:cs="Times New Roman"/>
                <w:b/>
                <w:bCs/>
              </w:rPr>
            </w:pPr>
            <w:r w:rsidRPr="00841802">
              <w:rPr>
                <w:rFonts w:ascii="Times New Roman" w:hAnsi="Times New Roman" w:cs="Times New Roman"/>
                <w:b/>
                <w:bCs/>
              </w:rPr>
              <w:t xml:space="preserve">CITY OF </w:t>
            </w:r>
            <w:r w:rsidR="00B05C38">
              <w:rPr>
                <w:rFonts w:ascii="Times New Roman" w:hAnsi="Times New Roman" w:cs="Times New Roman"/>
                <w:b/>
                <w:bCs/>
              </w:rPr>
              <w:t>TRUESDALE</w:t>
            </w:r>
          </w:p>
          <w:p w14:paraId="5E4EBC14" w14:textId="6E8A0C7C" w:rsidR="00841802" w:rsidRDefault="00841802" w:rsidP="00841802">
            <w:pPr>
              <w:jc w:val="center"/>
              <w:rPr>
                <w:rFonts w:ascii="Times New Roman" w:hAnsi="Times New Roman" w:cs="Times New Roman"/>
              </w:rPr>
            </w:pPr>
            <w:r w:rsidRPr="00841802">
              <w:rPr>
                <w:rFonts w:ascii="Times New Roman" w:hAnsi="Times New Roman" w:cs="Times New Roman"/>
                <w:b/>
                <w:bCs/>
              </w:rPr>
              <w:t>FEES ASSOCIATED WITH DEVELOPMENT OF PROPERTY</w:t>
            </w:r>
          </w:p>
        </w:tc>
      </w:tr>
      <w:tr w:rsidR="00011A92" w:rsidRPr="00CD388C" w14:paraId="27DA0AC8" w14:textId="77777777" w:rsidTr="00841802">
        <w:trPr>
          <w:trHeight w:val="1601"/>
        </w:trPr>
        <w:tc>
          <w:tcPr>
            <w:tcW w:w="9350" w:type="dxa"/>
            <w:gridSpan w:val="2"/>
            <w:vAlign w:val="center"/>
          </w:tcPr>
          <w:p w14:paraId="3CF89788" w14:textId="3C7A8751" w:rsidR="00011A92" w:rsidRPr="00011A92" w:rsidRDefault="00011A92" w:rsidP="00011A92">
            <w:pPr>
              <w:rPr>
                <w:rFonts w:ascii="Times New Roman" w:hAnsi="Times New Roman" w:cs="Times New Roman"/>
              </w:rPr>
            </w:pPr>
            <w:r>
              <w:rPr>
                <w:rFonts w:ascii="Times New Roman" w:hAnsi="Times New Roman" w:cs="Times New Roman"/>
              </w:rPr>
              <w:t>The fee structure as shown below is intended to assist in defraying City staff costs for review processes by the Planning and Zoning Commission, the Board of Aldermen, the City Attorney, and/or the City’s Planning Consultant as may be required. The cost associated with publi</w:t>
            </w:r>
            <w:r w:rsidR="00841802">
              <w:rPr>
                <w:rFonts w:ascii="Times New Roman" w:hAnsi="Times New Roman" w:cs="Times New Roman"/>
              </w:rPr>
              <w:t>shing</w:t>
            </w:r>
            <w:r>
              <w:rPr>
                <w:rFonts w:ascii="Times New Roman" w:hAnsi="Times New Roman" w:cs="Times New Roman"/>
              </w:rPr>
              <w:t xml:space="preserve"> </w:t>
            </w:r>
            <w:r w:rsidR="00841802">
              <w:rPr>
                <w:rFonts w:ascii="Times New Roman" w:hAnsi="Times New Roman" w:cs="Times New Roman"/>
              </w:rPr>
              <w:t xml:space="preserve">a notice </w:t>
            </w:r>
            <w:r>
              <w:rPr>
                <w:rFonts w:ascii="Times New Roman" w:hAnsi="Times New Roman" w:cs="Times New Roman"/>
              </w:rPr>
              <w:t xml:space="preserve">in a newspaper of public record </w:t>
            </w:r>
            <w:r w:rsidR="00841802">
              <w:rPr>
                <w:rFonts w:ascii="Times New Roman" w:hAnsi="Times New Roman" w:cs="Times New Roman"/>
              </w:rPr>
              <w:t>when required by State law will be charged to the applicant at its actual cost in addition to the fees listed below.</w:t>
            </w:r>
          </w:p>
        </w:tc>
      </w:tr>
      <w:tr w:rsidR="00CD388C" w:rsidRPr="00CD388C" w14:paraId="75E75987" w14:textId="77777777" w:rsidTr="00841802">
        <w:trPr>
          <w:trHeight w:val="359"/>
        </w:trPr>
        <w:tc>
          <w:tcPr>
            <w:tcW w:w="5575" w:type="dxa"/>
            <w:vAlign w:val="center"/>
          </w:tcPr>
          <w:p w14:paraId="0EE4E63C" w14:textId="0BEB6357" w:rsidR="00CD388C" w:rsidRPr="00CD388C" w:rsidRDefault="00CD388C" w:rsidP="00CD388C">
            <w:pPr>
              <w:jc w:val="center"/>
              <w:rPr>
                <w:rFonts w:ascii="Times New Roman" w:hAnsi="Times New Roman" w:cs="Times New Roman"/>
                <w:b/>
                <w:bCs/>
              </w:rPr>
            </w:pPr>
            <w:r w:rsidRPr="00CD388C">
              <w:rPr>
                <w:rFonts w:ascii="Times New Roman" w:hAnsi="Times New Roman" w:cs="Times New Roman"/>
                <w:b/>
                <w:bCs/>
              </w:rPr>
              <w:t>Requested Action</w:t>
            </w:r>
          </w:p>
        </w:tc>
        <w:tc>
          <w:tcPr>
            <w:tcW w:w="3775" w:type="dxa"/>
            <w:vAlign w:val="center"/>
          </w:tcPr>
          <w:p w14:paraId="7E614D81" w14:textId="571261EF" w:rsidR="00CD388C" w:rsidRPr="00CD388C" w:rsidRDefault="00CD388C" w:rsidP="00CD388C">
            <w:pPr>
              <w:jc w:val="center"/>
              <w:rPr>
                <w:rFonts w:ascii="Times New Roman" w:hAnsi="Times New Roman" w:cs="Times New Roman"/>
                <w:b/>
                <w:bCs/>
              </w:rPr>
            </w:pPr>
            <w:r w:rsidRPr="00CD388C">
              <w:rPr>
                <w:rFonts w:ascii="Times New Roman" w:hAnsi="Times New Roman" w:cs="Times New Roman"/>
                <w:b/>
                <w:bCs/>
              </w:rPr>
              <w:t>Application Fee</w:t>
            </w:r>
          </w:p>
        </w:tc>
      </w:tr>
      <w:tr w:rsidR="00011A92" w:rsidRPr="00CD388C" w14:paraId="62E76C67" w14:textId="77777777" w:rsidTr="00841802">
        <w:trPr>
          <w:trHeight w:val="341"/>
        </w:trPr>
        <w:tc>
          <w:tcPr>
            <w:tcW w:w="9350" w:type="dxa"/>
            <w:gridSpan w:val="2"/>
            <w:vAlign w:val="center"/>
          </w:tcPr>
          <w:p w14:paraId="411BCF2B" w14:textId="75868CC3" w:rsidR="00011A92" w:rsidRPr="00011A92" w:rsidRDefault="00011A92" w:rsidP="00011A92">
            <w:pPr>
              <w:jc w:val="center"/>
              <w:rPr>
                <w:rFonts w:ascii="Times New Roman" w:hAnsi="Times New Roman" w:cs="Times New Roman"/>
                <w:b/>
                <w:bCs/>
              </w:rPr>
            </w:pPr>
            <w:r w:rsidRPr="00011A92">
              <w:rPr>
                <w:rFonts w:ascii="Times New Roman" w:hAnsi="Times New Roman" w:cs="Times New Roman"/>
                <w:b/>
                <w:bCs/>
              </w:rPr>
              <w:t>Zoning-Related Actions</w:t>
            </w:r>
          </w:p>
        </w:tc>
      </w:tr>
      <w:tr w:rsidR="00CD388C" w:rsidRPr="00CD388C" w14:paraId="7550D8D3" w14:textId="77777777" w:rsidTr="006077BC">
        <w:tc>
          <w:tcPr>
            <w:tcW w:w="5575" w:type="dxa"/>
            <w:vAlign w:val="center"/>
          </w:tcPr>
          <w:p w14:paraId="47628010" w14:textId="5D67AEF3" w:rsidR="00CD388C" w:rsidRPr="00CD388C" w:rsidRDefault="00CD388C">
            <w:pPr>
              <w:rPr>
                <w:rFonts w:ascii="Times New Roman" w:hAnsi="Times New Roman" w:cs="Times New Roman"/>
              </w:rPr>
            </w:pPr>
            <w:r w:rsidRPr="00CD388C">
              <w:rPr>
                <w:rFonts w:ascii="Times New Roman" w:hAnsi="Times New Roman" w:cs="Times New Roman"/>
              </w:rPr>
              <w:t>Rezoning (Other than planned districts)</w:t>
            </w:r>
          </w:p>
        </w:tc>
        <w:tc>
          <w:tcPr>
            <w:tcW w:w="3775" w:type="dxa"/>
            <w:vAlign w:val="center"/>
          </w:tcPr>
          <w:p w14:paraId="28D7AE92" w14:textId="1384B6F1" w:rsidR="00CD388C" w:rsidRPr="00CD388C" w:rsidRDefault="00CD388C">
            <w:pPr>
              <w:rPr>
                <w:rFonts w:ascii="Times New Roman" w:hAnsi="Times New Roman" w:cs="Times New Roman"/>
              </w:rPr>
            </w:pPr>
            <w:r w:rsidRPr="00CD388C">
              <w:rPr>
                <w:rFonts w:ascii="Times New Roman" w:hAnsi="Times New Roman" w:cs="Times New Roman"/>
              </w:rPr>
              <w:t>$500 + $50 per acre or portion thereof</w:t>
            </w:r>
          </w:p>
        </w:tc>
      </w:tr>
      <w:tr w:rsidR="00CD388C" w:rsidRPr="00CD388C" w14:paraId="4FB706C7" w14:textId="77777777" w:rsidTr="006077BC">
        <w:tc>
          <w:tcPr>
            <w:tcW w:w="5575" w:type="dxa"/>
            <w:vAlign w:val="center"/>
          </w:tcPr>
          <w:p w14:paraId="399B02ED" w14:textId="1764BF53" w:rsidR="00CD388C" w:rsidRPr="00CD388C" w:rsidRDefault="00CD388C">
            <w:pPr>
              <w:rPr>
                <w:rFonts w:ascii="Times New Roman" w:hAnsi="Times New Roman" w:cs="Times New Roman"/>
              </w:rPr>
            </w:pPr>
            <w:r w:rsidRPr="00CD388C">
              <w:rPr>
                <w:rFonts w:ascii="Times New Roman" w:hAnsi="Times New Roman" w:cs="Times New Roman"/>
              </w:rPr>
              <w:t>Rezoning to Planned Development Districts</w:t>
            </w:r>
          </w:p>
        </w:tc>
        <w:tc>
          <w:tcPr>
            <w:tcW w:w="3775" w:type="dxa"/>
            <w:vAlign w:val="center"/>
          </w:tcPr>
          <w:p w14:paraId="0ACC03B6" w14:textId="17AB7854" w:rsidR="00CD388C" w:rsidRPr="00CD388C" w:rsidRDefault="00CD388C">
            <w:pPr>
              <w:rPr>
                <w:rFonts w:ascii="Times New Roman" w:hAnsi="Times New Roman" w:cs="Times New Roman"/>
              </w:rPr>
            </w:pPr>
            <w:r w:rsidRPr="00CD388C">
              <w:rPr>
                <w:rFonts w:ascii="Times New Roman" w:hAnsi="Times New Roman" w:cs="Times New Roman"/>
              </w:rPr>
              <w:t>$1,000 + 50 per acre or portion thereof</w:t>
            </w:r>
          </w:p>
        </w:tc>
      </w:tr>
      <w:tr w:rsidR="00CD388C" w:rsidRPr="00CD388C" w14:paraId="06F24403" w14:textId="77777777" w:rsidTr="006077BC">
        <w:tc>
          <w:tcPr>
            <w:tcW w:w="5575" w:type="dxa"/>
            <w:vAlign w:val="center"/>
          </w:tcPr>
          <w:p w14:paraId="3B8BD9D5" w14:textId="58EA3220" w:rsidR="00CD388C" w:rsidRPr="00CD388C" w:rsidRDefault="00CD388C">
            <w:pPr>
              <w:rPr>
                <w:rFonts w:ascii="Times New Roman" w:hAnsi="Times New Roman" w:cs="Times New Roman"/>
              </w:rPr>
            </w:pPr>
            <w:r>
              <w:rPr>
                <w:rFonts w:ascii="Times New Roman" w:hAnsi="Times New Roman" w:cs="Times New Roman"/>
              </w:rPr>
              <w:t>Amendment to Zoning Code Text</w:t>
            </w:r>
          </w:p>
        </w:tc>
        <w:tc>
          <w:tcPr>
            <w:tcW w:w="3775" w:type="dxa"/>
            <w:vAlign w:val="center"/>
          </w:tcPr>
          <w:p w14:paraId="7F309C8A" w14:textId="67BB5F2D" w:rsidR="00CD388C" w:rsidRPr="00CD388C" w:rsidRDefault="00CD388C">
            <w:pPr>
              <w:rPr>
                <w:rFonts w:ascii="Times New Roman" w:hAnsi="Times New Roman" w:cs="Times New Roman"/>
              </w:rPr>
            </w:pPr>
            <w:r>
              <w:rPr>
                <w:rFonts w:ascii="Times New Roman" w:hAnsi="Times New Roman" w:cs="Times New Roman"/>
              </w:rPr>
              <w:t>$500 filing fee: if then referred by the Commission to the Board of Aldermen (or from Board to Commission) an additional fee of $500</w:t>
            </w:r>
          </w:p>
        </w:tc>
      </w:tr>
      <w:tr w:rsidR="00CD388C" w:rsidRPr="00CD388C" w14:paraId="63CF3CBF" w14:textId="77777777" w:rsidTr="006077BC">
        <w:tc>
          <w:tcPr>
            <w:tcW w:w="5575" w:type="dxa"/>
            <w:vAlign w:val="center"/>
          </w:tcPr>
          <w:p w14:paraId="1727CD88" w14:textId="4B847159" w:rsidR="00CD388C" w:rsidRPr="00CD388C" w:rsidRDefault="006077BC">
            <w:pPr>
              <w:rPr>
                <w:rFonts w:ascii="Times New Roman" w:hAnsi="Times New Roman" w:cs="Times New Roman"/>
              </w:rPr>
            </w:pPr>
            <w:r>
              <w:rPr>
                <w:rFonts w:ascii="Times New Roman" w:hAnsi="Times New Roman" w:cs="Times New Roman"/>
              </w:rPr>
              <w:t>Conditional Use Permit (including associated site plan review)</w:t>
            </w:r>
          </w:p>
        </w:tc>
        <w:tc>
          <w:tcPr>
            <w:tcW w:w="3775" w:type="dxa"/>
            <w:vAlign w:val="center"/>
          </w:tcPr>
          <w:p w14:paraId="4C53F76D" w14:textId="17452362" w:rsidR="00CD388C" w:rsidRDefault="006077BC">
            <w:pPr>
              <w:rPr>
                <w:rFonts w:ascii="Times New Roman" w:hAnsi="Times New Roman" w:cs="Times New Roman"/>
              </w:rPr>
            </w:pPr>
            <w:r>
              <w:rPr>
                <w:rFonts w:ascii="Times New Roman" w:hAnsi="Times New Roman" w:cs="Times New Roman"/>
              </w:rPr>
              <w:t>$500 for plan review by Commission plus:</w:t>
            </w:r>
          </w:p>
          <w:p w14:paraId="6D0494D9" w14:textId="1C0B484B" w:rsidR="006077BC" w:rsidRPr="00CD388C" w:rsidRDefault="006077BC">
            <w:pPr>
              <w:rPr>
                <w:rFonts w:ascii="Times New Roman" w:hAnsi="Times New Roman" w:cs="Times New Roman"/>
              </w:rPr>
            </w:pPr>
            <w:r>
              <w:rPr>
                <w:rFonts w:ascii="Times New Roman" w:hAnsi="Times New Roman" w:cs="Times New Roman"/>
              </w:rPr>
              <w:t>$500 for review by Board of Aldermen</w:t>
            </w:r>
          </w:p>
        </w:tc>
      </w:tr>
      <w:tr w:rsidR="00011A92" w:rsidRPr="00CD388C" w14:paraId="2A16B96A" w14:textId="77777777" w:rsidTr="00841802">
        <w:trPr>
          <w:trHeight w:val="422"/>
        </w:trPr>
        <w:tc>
          <w:tcPr>
            <w:tcW w:w="9350" w:type="dxa"/>
            <w:gridSpan w:val="2"/>
            <w:vAlign w:val="center"/>
          </w:tcPr>
          <w:p w14:paraId="421E93BE" w14:textId="15E8DB72" w:rsidR="00011A92" w:rsidRPr="00011A92" w:rsidRDefault="00011A92" w:rsidP="00011A92">
            <w:pPr>
              <w:jc w:val="center"/>
              <w:rPr>
                <w:rFonts w:ascii="Times New Roman" w:hAnsi="Times New Roman" w:cs="Times New Roman"/>
                <w:b/>
                <w:bCs/>
              </w:rPr>
            </w:pPr>
            <w:r w:rsidRPr="00011A92">
              <w:rPr>
                <w:rFonts w:ascii="Times New Roman" w:hAnsi="Times New Roman" w:cs="Times New Roman"/>
                <w:b/>
                <w:bCs/>
              </w:rPr>
              <w:t>Subdivision-Related Actions</w:t>
            </w:r>
          </w:p>
        </w:tc>
      </w:tr>
      <w:tr w:rsidR="00CD388C" w:rsidRPr="00CD388C" w14:paraId="6330A3B3" w14:textId="77777777" w:rsidTr="006077BC">
        <w:tc>
          <w:tcPr>
            <w:tcW w:w="5575" w:type="dxa"/>
            <w:vAlign w:val="center"/>
          </w:tcPr>
          <w:p w14:paraId="44D3E5BC" w14:textId="1C7EF826" w:rsidR="00CD388C" w:rsidRPr="00CD388C" w:rsidRDefault="00011A92">
            <w:pPr>
              <w:rPr>
                <w:rFonts w:ascii="Times New Roman" w:hAnsi="Times New Roman" w:cs="Times New Roman"/>
              </w:rPr>
            </w:pPr>
            <w:r>
              <w:rPr>
                <w:rFonts w:ascii="Times New Roman" w:hAnsi="Times New Roman" w:cs="Times New Roman"/>
              </w:rPr>
              <w:t>Certificate of Approval</w:t>
            </w:r>
          </w:p>
        </w:tc>
        <w:tc>
          <w:tcPr>
            <w:tcW w:w="3775" w:type="dxa"/>
            <w:vAlign w:val="center"/>
          </w:tcPr>
          <w:p w14:paraId="1021290D" w14:textId="45062AD4" w:rsidR="00CD388C" w:rsidRPr="00CD388C" w:rsidRDefault="00011A92">
            <w:pPr>
              <w:rPr>
                <w:rFonts w:ascii="Times New Roman" w:hAnsi="Times New Roman" w:cs="Times New Roman"/>
              </w:rPr>
            </w:pPr>
            <w:r>
              <w:rPr>
                <w:rFonts w:ascii="Times New Roman" w:hAnsi="Times New Roman" w:cs="Times New Roman"/>
              </w:rPr>
              <w:t>$50</w:t>
            </w:r>
          </w:p>
        </w:tc>
      </w:tr>
      <w:tr w:rsidR="00CD388C" w:rsidRPr="00CD388C" w14:paraId="08633DE8" w14:textId="77777777" w:rsidTr="006077BC">
        <w:tc>
          <w:tcPr>
            <w:tcW w:w="5575" w:type="dxa"/>
            <w:vAlign w:val="center"/>
          </w:tcPr>
          <w:p w14:paraId="5C04EAE9" w14:textId="265A7A42" w:rsidR="00CD388C" w:rsidRPr="00CD388C" w:rsidRDefault="00011A92">
            <w:pPr>
              <w:rPr>
                <w:rFonts w:ascii="Times New Roman" w:hAnsi="Times New Roman" w:cs="Times New Roman"/>
              </w:rPr>
            </w:pPr>
            <w:r>
              <w:rPr>
                <w:rFonts w:ascii="Times New Roman" w:hAnsi="Times New Roman" w:cs="Times New Roman"/>
              </w:rPr>
              <w:t>Boundary Adjustment Plat</w:t>
            </w:r>
          </w:p>
        </w:tc>
        <w:tc>
          <w:tcPr>
            <w:tcW w:w="3775" w:type="dxa"/>
            <w:vAlign w:val="center"/>
          </w:tcPr>
          <w:p w14:paraId="43B4C12A" w14:textId="791312A0" w:rsidR="00CD388C" w:rsidRPr="00CD388C" w:rsidRDefault="00011A92">
            <w:pPr>
              <w:rPr>
                <w:rFonts w:ascii="Times New Roman" w:hAnsi="Times New Roman" w:cs="Times New Roman"/>
              </w:rPr>
            </w:pPr>
            <w:r>
              <w:rPr>
                <w:rFonts w:ascii="Times New Roman" w:hAnsi="Times New Roman" w:cs="Times New Roman"/>
              </w:rPr>
              <w:t>$50 for each lot</w:t>
            </w:r>
          </w:p>
        </w:tc>
      </w:tr>
      <w:tr w:rsidR="00011A92" w:rsidRPr="00CD388C" w14:paraId="3BC34348" w14:textId="77777777" w:rsidTr="006077BC">
        <w:tc>
          <w:tcPr>
            <w:tcW w:w="5575" w:type="dxa"/>
            <w:vAlign w:val="center"/>
          </w:tcPr>
          <w:p w14:paraId="3BD2E6CE" w14:textId="32D65D35" w:rsidR="00011A92" w:rsidRPr="00CD388C" w:rsidRDefault="00011A92" w:rsidP="00011A92">
            <w:pPr>
              <w:rPr>
                <w:rFonts w:ascii="Times New Roman" w:hAnsi="Times New Roman" w:cs="Times New Roman"/>
              </w:rPr>
            </w:pPr>
            <w:r>
              <w:rPr>
                <w:rFonts w:ascii="Times New Roman" w:hAnsi="Times New Roman" w:cs="Times New Roman"/>
              </w:rPr>
              <w:t>Subdivision Sketch Plan</w:t>
            </w:r>
          </w:p>
        </w:tc>
        <w:tc>
          <w:tcPr>
            <w:tcW w:w="3775" w:type="dxa"/>
            <w:vAlign w:val="center"/>
          </w:tcPr>
          <w:p w14:paraId="24ED397D" w14:textId="335C8337" w:rsidR="00011A92" w:rsidRPr="00CD388C" w:rsidRDefault="00011A92" w:rsidP="00011A92">
            <w:pPr>
              <w:rPr>
                <w:rFonts w:ascii="Times New Roman" w:hAnsi="Times New Roman" w:cs="Times New Roman"/>
              </w:rPr>
            </w:pPr>
            <w:r>
              <w:rPr>
                <w:rFonts w:ascii="Times New Roman" w:hAnsi="Times New Roman" w:cs="Times New Roman"/>
              </w:rPr>
              <w:t>$50 for each lot</w:t>
            </w:r>
          </w:p>
        </w:tc>
      </w:tr>
      <w:tr w:rsidR="00011A92" w:rsidRPr="00CD388C" w14:paraId="13068BFF" w14:textId="77777777" w:rsidTr="006077BC">
        <w:tc>
          <w:tcPr>
            <w:tcW w:w="5575" w:type="dxa"/>
            <w:vAlign w:val="center"/>
          </w:tcPr>
          <w:p w14:paraId="4CF8F6F3" w14:textId="514CF338" w:rsidR="00011A92" w:rsidRPr="00CD388C" w:rsidRDefault="00011A92" w:rsidP="00011A92">
            <w:pPr>
              <w:rPr>
                <w:rFonts w:ascii="Times New Roman" w:hAnsi="Times New Roman" w:cs="Times New Roman"/>
              </w:rPr>
            </w:pPr>
            <w:r>
              <w:rPr>
                <w:rFonts w:ascii="Times New Roman" w:hAnsi="Times New Roman" w:cs="Times New Roman"/>
              </w:rPr>
              <w:t>Preliminary Subdivision Plat</w:t>
            </w:r>
          </w:p>
        </w:tc>
        <w:tc>
          <w:tcPr>
            <w:tcW w:w="3775" w:type="dxa"/>
            <w:vAlign w:val="center"/>
          </w:tcPr>
          <w:p w14:paraId="0626A14C" w14:textId="336E7A44" w:rsidR="00011A92" w:rsidRPr="00CD388C" w:rsidRDefault="00011A92" w:rsidP="00011A92">
            <w:pPr>
              <w:rPr>
                <w:rFonts w:ascii="Times New Roman" w:hAnsi="Times New Roman" w:cs="Times New Roman"/>
              </w:rPr>
            </w:pPr>
            <w:r>
              <w:rPr>
                <w:rFonts w:ascii="Times New Roman" w:hAnsi="Times New Roman" w:cs="Times New Roman"/>
              </w:rPr>
              <w:t>$100 for each lot</w:t>
            </w:r>
          </w:p>
        </w:tc>
      </w:tr>
      <w:tr w:rsidR="00011A92" w:rsidRPr="00CD388C" w14:paraId="0AEF7A36" w14:textId="77777777" w:rsidTr="006077BC">
        <w:tc>
          <w:tcPr>
            <w:tcW w:w="5575" w:type="dxa"/>
            <w:vAlign w:val="center"/>
          </w:tcPr>
          <w:p w14:paraId="7D356FA1" w14:textId="023F5CFA" w:rsidR="00011A92" w:rsidRPr="00CD388C" w:rsidRDefault="00011A92" w:rsidP="00011A92">
            <w:pPr>
              <w:rPr>
                <w:rFonts w:ascii="Times New Roman" w:hAnsi="Times New Roman" w:cs="Times New Roman"/>
              </w:rPr>
            </w:pPr>
            <w:r>
              <w:rPr>
                <w:rFonts w:ascii="Times New Roman" w:hAnsi="Times New Roman" w:cs="Times New Roman"/>
              </w:rPr>
              <w:t>Subdivision Record Plat</w:t>
            </w:r>
          </w:p>
        </w:tc>
        <w:tc>
          <w:tcPr>
            <w:tcW w:w="3775" w:type="dxa"/>
            <w:vAlign w:val="center"/>
          </w:tcPr>
          <w:p w14:paraId="060863F6" w14:textId="360C8AD8" w:rsidR="00011A92" w:rsidRPr="00CD388C" w:rsidRDefault="00011A92" w:rsidP="00011A92">
            <w:pPr>
              <w:rPr>
                <w:rFonts w:ascii="Times New Roman" w:hAnsi="Times New Roman" w:cs="Times New Roman"/>
              </w:rPr>
            </w:pPr>
            <w:r>
              <w:rPr>
                <w:rFonts w:ascii="Times New Roman" w:hAnsi="Times New Roman" w:cs="Times New Roman"/>
              </w:rPr>
              <w:t>$100 plus 1.0% of the cost of public improvements</w:t>
            </w:r>
          </w:p>
        </w:tc>
      </w:tr>
    </w:tbl>
    <w:p w14:paraId="64CDFE23" w14:textId="77777777" w:rsidR="00CD388C" w:rsidRDefault="00CD388C"/>
    <w:sectPr w:rsidR="00CD38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101D8" w14:textId="77777777" w:rsidR="00374E7E" w:rsidRDefault="00374E7E" w:rsidP="00DA3E8F">
      <w:pPr>
        <w:spacing w:after="0" w:line="240" w:lineRule="auto"/>
      </w:pPr>
      <w:r>
        <w:separator/>
      </w:r>
    </w:p>
  </w:endnote>
  <w:endnote w:type="continuationSeparator" w:id="0">
    <w:p w14:paraId="4A6C12D4" w14:textId="77777777" w:rsidR="00374E7E" w:rsidRDefault="00374E7E" w:rsidP="00DA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67663" w14:textId="77777777" w:rsidR="00374E7E" w:rsidRDefault="00374E7E" w:rsidP="00DA3E8F">
      <w:pPr>
        <w:spacing w:after="0" w:line="240" w:lineRule="auto"/>
      </w:pPr>
      <w:r>
        <w:separator/>
      </w:r>
    </w:p>
  </w:footnote>
  <w:footnote w:type="continuationSeparator" w:id="0">
    <w:p w14:paraId="42DCB178" w14:textId="77777777" w:rsidR="00374E7E" w:rsidRDefault="00374E7E" w:rsidP="00DA3E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8C"/>
    <w:rsid w:val="00011A92"/>
    <w:rsid w:val="000457FA"/>
    <w:rsid w:val="00374E7E"/>
    <w:rsid w:val="00603DAF"/>
    <w:rsid w:val="006077BC"/>
    <w:rsid w:val="007402DC"/>
    <w:rsid w:val="00841802"/>
    <w:rsid w:val="00B05C38"/>
    <w:rsid w:val="00BA54ED"/>
    <w:rsid w:val="00CD388C"/>
    <w:rsid w:val="00D51D0A"/>
    <w:rsid w:val="00D978E4"/>
    <w:rsid w:val="00DA3E8F"/>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A4FF"/>
  <w15:chartTrackingRefBased/>
  <w15:docId w15:val="{187F9385-8CD5-4034-94D1-F5E6D21B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8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8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8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8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88C"/>
    <w:rPr>
      <w:rFonts w:eastAsiaTheme="majorEastAsia" w:cstheme="majorBidi"/>
      <w:color w:val="272727" w:themeColor="text1" w:themeTint="D8"/>
    </w:rPr>
  </w:style>
  <w:style w:type="paragraph" w:styleId="Title">
    <w:name w:val="Title"/>
    <w:basedOn w:val="Normal"/>
    <w:next w:val="Normal"/>
    <w:link w:val="TitleChar"/>
    <w:uiPriority w:val="10"/>
    <w:qFormat/>
    <w:rsid w:val="00CD3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8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88C"/>
    <w:pPr>
      <w:spacing w:before="160"/>
      <w:jc w:val="center"/>
    </w:pPr>
    <w:rPr>
      <w:i/>
      <w:iCs/>
      <w:color w:val="404040" w:themeColor="text1" w:themeTint="BF"/>
    </w:rPr>
  </w:style>
  <w:style w:type="character" w:customStyle="1" w:styleId="QuoteChar">
    <w:name w:val="Quote Char"/>
    <w:basedOn w:val="DefaultParagraphFont"/>
    <w:link w:val="Quote"/>
    <w:uiPriority w:val="29"/>
    <w:rsid w:val="00CD388C"/>
    <w:rPr>
      <w:i/>
      <w:iCs/>
      <w:color w:val="404040" w:themeColor="text1" w:themeTint="BF"/>
    </w:rPr>
  </w:style>
  <w:style w:type="paragraph" w:styleId="ListParagraph">
    <w:name w:val="List Paragraph"/>
    <w:basedOn w:val="Normal"/>
    <w:uiPriority w:val="34"/>
    <w:qFormat/>
    <w:rsid w:val="00CD388C"/>
    <w:pPr>
      <w:ind w:left="720"/>
      <w:contextualSpacing/>
    </w:pPr>
  </w:style>
  <w:style w:type="character" w:styleId="IntenseEmphasis">
    <w:name w:val="Intense Emphasis"/>
    <w:basedOn w:val="DefaultParagraphFont"/>
    <w:uiPriority w:val="21"/>
    <w:qFormat/>
    <w:rsid w:val="00CD388C"/>
    <w:rPr>
      <w:i/>
      <w:iCs/>
      <w:color w:val="0F4761" w:themeColor="accent1" w:themeShade="BF"/>
    </w:rPr>
  </w:style>
  <w:style w:type="paragraph" w:styleId="IntenseQuote">
    <w:name w:val="Intense Quote"/>
    <w:basedOn w:val="Normal"/>
    <w:next w:val="Normal"/>
    <w:link w:val="IntenseQuoteChar"/>
    <w:uiPriority w:val="30"/>
    <w:qFormat/>
    <w:rsid w:val="00CD3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88C"/>
    <w:rPr>
      <w:i/>
      <w:iCs/>
      <w:color w:val="0F4761" w:themeColor="accent1" w:themeShade="BF"/>
    </w:rPr>
  </w:style>
  <w:style w:type="character" w:styleId="IntenseReference">
    <w:name w:val="Intense Reference"/>
    <w:basedOn w:val="DefaultParagraphFont"/>
    <w:uiPriority w:val="32"/>
    <w:qFormat/>
    <w:rsid w:val="00CD388C"/>
    <w:rPr>
      <w:b/>
      <w:bCs/>
      <w:smallCaps/>
      <w:color w:val="0F4761" w:themeColor="accent1" w:themeShade="BF"/>
      <w:spacing w:val="5"/>
    </w:rPr>
  </w:style>
  <w:style w:type="table" w:styleId="TableGrid">
    <w:name w:val="Table Grid"/>
    <w:basedOn w:val="TableNormal"/>
    <w:uiPriority w:val="39"/>
    <w:rsid w:val="00CD3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E8F"/>
  </w:style>
  <w:style w:type="paragraph" w:styleId="Footer">
    <w:name w:val="footer"/>
    <w:basedOn w:val="Normal"/>
    <w:link w:val="FooterChar"/>
    <w:uiPriority w:val="99"/>
    <w:unhideWhenUsed/>
    <w:rsid w:val="00DA3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Brancaglione</dc:creator>
  <cp:keywords/>
  <dc:description/>
  <cp:lastModifiedBy>Elsa Smith-Fernandez</cp:lastModifiedBy>
  <cp:revision>1</cp:revision>
  <dcterms:created xsi:type="dcterms:W3CDTF">2024-10-18T22:08:00Z</dcterms:created>
  <dcterms:modified xsi:type="dcterms:W3CDTF">2025-04-02T15:44:00Z</dcterms:modified>
</cp:coreProperties>
</file>