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3167" w14:textId="7512147C" w:rsidR="001E32BC" w:rsidRPr="00031F7A" w:rsidRDefault="001E32BC" w:rsidP="001E32BC">
      <w:pPr>
        <w:pStyle w:val="H1"/>
        <w:rPr>
          <w:rFonts w:ascii="Calibri" w:hAnsi="Calibri" w:cs="Calibri"/>
        </w:rPr>
      </w:pPr>
      <w:bookmarkStart w:id="0" w:name="_Hlk106867907"/>
    </w:p>
    <w:p w14:paraId="2704E87A" w14:textId="397AC277" w:rsidR="001E32BC" w:rsidRDefault="006821D6" w:rsidP="006821D6">
      <w:pPr>
        <w:jc w:val="center"/>
        <w:rPr>
          <w:rFonts w:ascii="Calibri" w:hAnsi="Calibri" w:cs="Calibri"/>
        </w:rPr>
      </w:pPr>
      <w:r>
        <w:rPr>
          <w:noProof/>
          <w14:ligatures w14:val="standardContextual"/>
        </w:rPr>
        <w:drawing>
          <wp:inline distT="0" distB="0" distL="0" distR="0" wp14:anchorId="3583313D" wp14:editId="4B517F2E">
            <wp:extent cx="1882140" cy="1718310"/>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a:stretch>
                      <a:fillRect/>
                    </a:stretch>
                  </pic:blipFill>
                  <pic:spPr>
                    <a:xfrm>
                      <a:off x="0" y="0"/>
                      <a:ext cx="1882140" cy="1718310"/>
                    </a:xfrm>
                    <a:prstGeom prst="rect">
                      <a:avLst/>
                    </a:prstGeom>
                  </pic:spPr>
                </pic:pic>
              </a:graphicData>
            </a:graphic>
          </wp:inline>
        </w:drawing>
      </w:r>
    </w:p>
    <w:p w14:paraId="6D89B82B" w14:textId="77777777" w:rsidR="006821D6" w:rsidRPr="00031F7A" w:rsidRDefault="006821D6" w:rsidP="006821D6">
      <w:pPr>
        <w:jc w:val="center"/>
        <w:rPr>
          <w:rFonts w:ascii="Calibri" w:hAnsi="Calibri" w:cs="Calibri"/>
        </w:rPr>
      </w:pPr>
    </w:p>
    <w:p w14:paraId="4ECE1920" w14:textId="0B095E5F" w:rsidR="001E32BC" w:rsidRPr="006821D6" w:rsidRDefault="006821D6" w:rsidP="001E32BC">
      <w:pPr>
        <w:jc w:val="both"/>
        <w:rPr>
          <w:rFonts w:ascii="Century Gothic" w:hAnsi="Century Gothic" w:cs="Calibri"/>
          <w:i/>
          <w:iCs/>
          <w:sz w:val="28"/>
          <w:szCs w:val="28"/>
        </w:rPr>
      </w:pPr>
      <w:r w:rsidRPr="006821D6">
        <w:rPr>
          <w:rFonts w:ascii="Century Gothic" w:hAnsi="Century Gothic" w:cs="Calibri"/>
          <w:i/>
          <w:iCs/>
          <w:sz w:val="28"/>
          <w:szCs w:val="28"/>
        </w:rPr>
        <w:t>Parents as partners policy:</w:t>
      </w:r>
    </w:p>
    <w:p w14:paraId="4932BE74" w14:textId="77777777" w:rsidR="006821D6" w:rsidRPr="00031F7A" w:rsidRDefault="006821D6" w:rsidP="001E32BC">
      <w:pPr>
        <w:jc w:val="both"/>
        <w:rPr>
          <w:rFonts w:ascii="Calibri" w:hAnsi="Calibri" w:cs="Calibri"/>
        </w:rPr>
      </w:pPr>
    </w:p>
    <w:p w14:paraId="53A6D091" w14:textId="47FA335B" w:rsidR="001E32BC" w:rsidRPr="006821D6" w:rsidRDefault="001E32BC" w:rsidP="001E32BC">
      <w:pPr>
        <w:jc w:val="both"/>
        <w:rPr>
          <w:rFonts w:ascii="Century Gothic" w:hAnsi="Century Gothic" w:cs="Calibri"/>
          <w:sz w:val="20"/>
          <w:szCs w:val="20"/>
        </w:rPr>
      </w:pPr>
      <w:r w:rsidRPr="006821D6">
        <w:rPr>
          <w:rFonts w:ascii="Century Gothic" w:hAnsi="Century Gothic" w:cs="Calibri"/>
          <w:sz w:val="20"/>
          <w:szCs w:val="20"/>
        </w:rPr>
        <w:t xml:space="preserve">At </w:t>
      </w:r>
      <w:r w:rsidR="006821D6" w:rsidRPr="006821D6">
        <w:rPr>
          <w:rFonts w:ascii="Century Gothic" w:hAnsi="Century Gothic" w:cs="Calibri"/>
          <w:b/>
          <w:sz w:val="20"/>
          <w:szCs w:val="20"/>
        </w:rPr>
        <w:t>Creekmoor Day Nursery LTD</w:t>
      </w:r>
      <w:r w:rsidRPr="006821D6">
        <w:rPr>
          <w:rFonts w:ascii="Century Gothic" w:hAnsi="Century Gothic" w:cs="Calibri"/>
          <w:sz w:val="20"/>
          <w:szCs w:val="20"/>
        </w:rPr>
        <w:t xml:space="preserve"> 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419C32C0" w14:textId="77777777" w:rsidR="001E32BC" w:rsidRPr="006821D6" w:rsidRDefault="001E32BC" w:rsidP="001E32BC">
      <w:pPr>
        <w:jc w:val="both"/>
        <w:rPr>
          <w:rFonts w:ascii="Century Gothic" w:hAnsi="Century Gothic" w:cs="Calibri"/>
          <w:sz w:val="20"/>
          <w:szCs w:val="20"/>
        </w:rPr>
      </w:pPr>
    </w:p>
    <w:p w14:paraId="2053D50E" w14:textId="77777777" w:rsidR="001E32BC" w:rsidRPr="006821D6" w:rsidRDefault="001E32BC" w:rsidP="001E32BC">
      <w:pPr>
        <w:jc w:val="both"/>
        <w:rPr>
          <w:rFonts w:ascii="Century Gothic" w:hAnsi="Century Gothic" w:cs="Calibri"/>
          <w:sz w:val="20"/>
          <w:szCs w:val="20"/>
        </w:rPr>
      </w:pPr>
      <w:r w:rsidRPr="006821D6">
        <w:rPr>
          <w:rFonts w:ascii="Century Gothic" w:hAnsi="Century Gothic" w:cs="Calibri"/>
          <w:sz w:val="20"/>
          <w:szCs w:val="20"/>
        </w:rPr>
        <w:t xml:space="preserve">The key person system supports engagement with all </w:t>
      </w:r>
      <w:proofErr w:type="gramStart"/>
      <w:r w:rsidRPr="006821D6">
        <w:rPr>
          <w:rFonts w:ascii="Century Gothic" w:hAnsi="Century Gothic" w:cs="Calibri"/>
          <w:sz w:val="20"/>
          <w:szCs w:val="20"/>
        </w:rPr>
        <w:t>parents</w:t>
      </w:r>
      <w:proofErr w:type="gramEnd"/>
      <w:r w:rsidRPr="006821D6">
        <w:rPr>
          <w:rFonts w:ascii="Century Gothic" w:hAnsi="Century Gothic" w:cs="Calibri"/>
          <w:sz w:val="20"/>
          <w:szCs w:val="20"/>
        </w:rPr>
        <w:t xml:space="preserve">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4B2143BD" w14:textId="77777777" w:rsidR="001E32BC" w:rsidRPr="006821D6" w:rsidRDefault="001E32BC" w:rsidP="001E32BC">
      <w:pPr>
        <w:jc w:val="both"/>
        <w:rPr>
          <w:rFonts w:ascii="Century Gothic" w:hAnsi="Century Gothic" w:cs="Calibri"/>
          <w:sz w:val="20"/>
          <w:szCs w:val="20"/>
        </w:rPr>
      </w:pPr>
    </w:p>
    <w:p w14:paraId="563098B4" w14:textId="77777777" w:rsidR="001E32BC" w:rsidRPr="006821D6" w:rsidRDefault="001E32BC" w:rsidP="001E32BC">
      <w:pPr>
        <w:jc w:val="both"/>
        <w:rPr>
          <w:rFonts w:ascii="Century Gothic" w:hAnsi="Century Gothic" w:cs="Calibri"/>
          <w:sz w:val="20"/>
          <w:szCs w:val="20"/>
        </w:rPr>
      </w:pPr>
      <w:r w:rsidRPr="006821D6">
        <w:rPr>
          <w:rFonts w:ascii="Century Gothic" w:hAnsi="Century Gothic" w:cs="Calibri"/>
          <w:sz w:val="20"/>
          <w:szCs w:val="20"/>
        </w:rPr>
        <w:t>Our policy is to:</w:t>
      </w:r>
    </w:p>
    <w:p w14:paraId="215F1293"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Recognise and support parents as their child’s first and most important educators and to welcome them into the life of the nursery</w:t>
      </w:r>
    </w:p>
    <w:p w14:paraId="57585B6E"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Generate confidence and encourage parents to trust their own instincts and judgement regarding their own child</w:t>
      </w:r>
    </w:p>
    <w:p w14:paraId="73B8767B"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Welcome all parents into the nursery at any time and provide an area where parents can speak confidentially with us as required</w:t>
      </w:r>
    </w:p>
    <w:p w14:paraId="06A63FA1"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Welcome nursing mothers. The nursery will make available a private area whenever needed to offer space and privacy to nursing mothers</w:t>
      </w:r>
    </w:p>
    <w:p w14:paraId="32E3A92E"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 xml:space="preserve">Ensure nursery documentation and communications are provided in different and accessible formats to suit each parent’s needs, e.g. Braille, multi-lingual, electronic communications </w:t>
      </w:r>
    </w:p>
    <w:p w14:paraId="62DE0B32" w14:textId="38A29C9D"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 xml:space="preserve">Ensure that all parents are aware of the nursery’s policies and procedures. A detailed parent prospectus will be </w:t>
      </w:r>
      <w:proofErr w:type="gramStart"/>
      <w:r w:rsidRPr="006821D6">
        <w:rPr>
          <w:rFonts w:ascii="Century Gothic" w:hAnsi="Century Gothic" w:cs="Calibri"/>
          <w:sz w:val="20"/>
          <w:szCs w:val="20"/>
        </w:rPr>
        <w:t>provided</w:t>
      </w:r>
      <w:proofErr w:type="gramEnd"/>
      <w:r w:rsidRPr="006821D6">
        <w:rPr>
          <w:rFonts w:ascii="Century Gothic" w:hAnsi="Century Gothic" w:cs="Calibri"/>
          <w:sz w:val="20"/>
          <w:szCs w:val="20"/>
        </w:rPr>
        <w:t xml:space="preserve"> and our full policy documents will be available to parents at all times on the nursery website </w:t>
      </w:r>
    </w:p>
    <w:p w14:paraId="7B6073EC"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Maintain regular contact with parents to help us to build a secure and beneficial working relationship for their children</w:t>
      </w:r>
    </w:p>
    <w:p w14:paraId="3E4C211E"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Support parents in their own continuing education and personal development including helping them to develop their parenting skills and inform them of relevant conferences, workshops and training, where required</w:t>
      </w:r>
    </w:p>
    <w:p w14:paraId="099F4375"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Create opportunities for parents to talk to other adults in a secure and supportive environment through such activities as open days, parents’ evenings and a parents’ forum</w:t>
      </w:r>
    </w:p>
    <w:p w14:paraId="3DEBA4E3"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lastRenderedPageBreak/>
        <w:t xml:space="preserve">Inform parents about the range and type of activities and experiences provided for children, the daily routines of the setting, the types of food and drinks provided for children and events through *regularly distributed newsletters/*the nursery website </w:t>
      </w:r>
    </w:p>
    <w:p w14:paraId="142179F3"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 and updates as they transition through the setting</w:t>
      </w:r>
    </w:p>
    <w:p w14:paraId="63501ED1"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Inform parents on a regular basis about their child’s progress and involve them in shared record keeping. Parents’ evenings are held at least twice a year. The nursery consults with parents about the times of meetings to avoid excluding anyone</w:t>
      </w:r>
    </w:p>
    <w:p w14:paraId="13BB12F7"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Actively encourage parents to contribute to children’s learning through sharing observations, interests and experiences from home. This may be verbally, sharing photographs or in written form</w:t>
      </w:r>
    </w:p>
    <w:p w14:paraId="0AD35BCF"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 xml:space="preserve">Agree the best communication method with parents, e.g. email, face-to-face, telephone and share information about the child’s day, e.g. food eaten, activities, sleep times etc. </w:t>
      </w:r>
    </w:p>
    <w:p w14:paraId="6975D203"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Consider and discuss all suggestions from parents concerning the care and early learning of their child and nursery operation</w:t>
      </w:r>
    </w:p>
    <w:p w14:paraId="6806B7AC"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Provide opportunities and support for all parents to contribute their own skills, knowledge and interests to the activities of the nursery including signposting to relevant services, agencies and training opportunities</w:t>
      </w:r>
    </w:p>
    <w:p w14:paraId="64C1219E"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Inform all parents of the systems for registering queries, compliments, complaints or suggestions, and to check that these systems are understood by parents</w:t>
      </w:r>
    </w:p>
    <w:p w14:paraId="603385F6"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Make sure all parents have access to our written Complaints and compliments policy</w:t>
      </w:r>
    </w:p>
    <w:p w14:paraId="33A706DC"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Share information about the Early Years Foundation Stage, young children's learning in the nursery, how parents can further support learning at home and where they can access further information</w:t>
      </w:r>
    </w:p>
    <w:p w14:paraId="29BEED41"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Provide a written contract between the parent(s) and the nursery regarding conditions of acceptance and arrangements for payment</w:t>
      </w:r>
    </w:p>
    <w:p w14:paraId="1CA0AD75"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Respect the family’s religious and cultural backgrounds and beliefs and accommodate any special requirements wherever possible and practical to do so</w:t>
      </w:r>
    </w:p>
    <w:p w14:paraId="5B2B28FC"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Inform parents how the nursery supports children with special educational needs and disabilities</w:t>
      </w:r>
    </w:p>
    <w:p w14:paraId="21D03054" w14:textId="77777777" w:rsidR="001E32BC" w:rsidRPr="006821D6" w:rsidRDefault="001E32BC" w:rsidP="001E32BC">
      <w:pPr>
        <w:numPr>
          <w:ilvl w:val="0"/>
          <w:numId w:val="6"/>
        </w:numPr>
        <w:jc w:val="both"/>
        <w:rPr>
          <w:rFonts w:ascii="Century Gothic" w:hAnsi="Century Gothic" w:cs="Calibri"/>
          <w:sz w:val="20"/>
          <w:szCs w:val="20"/>
        </w:rPr>
      </w:pPr>
      <w:r w:rsidRPr="006821D6">
        <w:rPr>
          <w:rFonts w:ascii="Century Gothic" w:hAnsi="Century Gothic" w:cs="Calibri"/>
          <w:sz w:val="20"/>
          <w:szCs w:val="20"/>
        </w:rPr>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14:paraId="4ADAC5C1" w14:textId="77777777" w:rsidR="001E32BC" w:rsidRPr="006821D6" w:rsidRDefault="001E32BC" w:rsidP="001E32BC">
      <w:pPr>
        <w:ind w:left="360"/>
        <w:jc w:val="both"/>
        <w:rPr>
          <w:rFonts w:ascii="Century Gothic" w:hAnsi="Century Gothic" w:cs="Calibri"/>
          <w:sz w:val="20"/>
          <w:szCs w:val="20"/>
        </w:rPr>
      </w:pPr>
    </w:p>
    <w:p w14:paraId="45E162A4" w14:textId="77777777" w:rsidR="001E32BC" w:rsidRPr="006821D6" w:rsidRDefault="001E32BC" w:rsidP="001E32BC">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E32BC" w:rsidRPr="006821D6" w14:paraId="19CE9556" w14:textId="77777777" w:rsidTr="00DB54BF">
        <w:trPr>
          <w:jc w:val="center"/>
        </w:trPr>
        <w:tc>
          <w:tcPr>
            <w:tcW w:w="2943" w:type="dxa"/>
            <w:tcBorders>
              <w:top w:val="single" w:sz="4" w:space="0" w:color="000000"/>
            </w:tcBorders>
            <w:vAlign w:val="center"/>
          </w:tcPr>
          <w:bookmarkEnd w:id="0"/>
          <w:p w14:paraId="72920C23" w14:textId="77777777" w:rsidR="001E32BC" w:rsidRPr="006821D6" w:rsidRDefault="001E32BC" w:rsidP="00DB54BF">
            <w:pPr>
              <w:jc w:val="both"/>
              <w:rPr>
                <w:rFonts w:ascii="Century Gothic" w:eastAsia="Calibri" w:hAnsi="Century Gothic" w:cs="Calibri"/>
                <w:sz w:val="20"/>
                <w:szCs w:val="20"/>
              </w:rPr>
            </w:pPr>
            <w:r w:rsidRPr="006821D6">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67E87D65" w14:textId="77777777" w:rsidR="001E32BC" w:rsidRPr="006821D6" w:rsidRDefault="001E32BC" w:rsidP="00DB54BF">
            <w:pPr>
              <w:jc w:val="both"/>
              <w:rPr>
                <w:rFonts w:ascii="Century Gothic" w:eastAsia="Calibri" w:hAnsi="Century Gothic" w:cs="Calibri"/>
                <w:sz w:val="20"/>
                <w:szCs w:val="20"/>
              </w:rPr>
            </w:pPr>
            <w:r w:rsidRPr="006821D6">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5D1F6E12" w14:textId="77777777" w:rsidR="001E32BC" w:rsidRPr="006821D6" w:rsidRDefault="001E32BC" w:rsidP="00DB54BF">
            <w:pPr>
              <w:jc w:val="both"/>
              <w:rPr>
                <w:rFonts w:ascii="Century Gothic" w:eastAsia="Calibri" w:hAnsi="Century Gothic" w:cs="Calibri"/>
                <w:sz w:val="20"/>
                <w:szCs w:val="20"/>
              </w:rPr>
            </w:pPr>
            <w:r w:rsidRPr="006821D6">
              <w:rPr>
                <w:rFonts w:ascii="Century Gothic" w:eastAsia="Arial" w:hAnsi="Century Gothic" w:cs="Calibri"/>
                <w:b/>
                <w:sz w:val="20"/>
                <w:szCs w:val="20"/>
              </w:rPr>
              <w:t>Date for review</w:t>
            </w:r>
          </w:p>
        </w:tc>
      </w:tr>
      <w:tr w:rsidR="001E32BC" w:rsidRPr="006821D6" w14:paraId="69F69F3E" w14:textId="77777777" w:rsidTr="00DB54BF">
        <w:trPr>
          <w:jc w:val="center"/>
        </w:trPr>
        <w:tc>
          <w:tcPr>
            <w:tcW w:w="2943" w:type="dxa"/>
            <w:vAlign w:val="center"/>
          </w:tcPr>
          <w:p w14:paraId="2543D431" w14:textId="53AA4BBF" w:rsidR="001E32BC" w:rsidRPr="006821D6" w:rsidRDefault="006821D6" w:rsidP="00DB54BF">
            <w:pPr>
              <w:jc w:val="both"/>
              <w:rPr>
                <w:rFonts w:ascii="Century Gothic" w:eastAsia="Calibri" w:hAnsi="Century Gothic" w:cs="Calibri"/>
                <w:sz w:val="20"/>
                <w:szCs w:val="20"/>
              </w:rPr>
            </w:pPr>
            <w:r w:rsidRPr="006821D6">
              <w:rPr>
                <w:rFonts w:ascii="Century Gothic" w:eastAsia="Arial" w:hAnsi="Century Gothic" w:cs="Calibri"/>
                <w:i/>
                <w:sz w:val="20"/>
                <w:szCs w:val="20"/>
              </w:rPr>
              <w:t>February 2025</w:t>
            </w:r>
          </w:p>
        </w:tc>
        <w:tc>
          <w:tcPr>
            <w:tcW w:w="3408" w:type="dxa"/>
          </w:tcPr>
          <w:p w14:paraId="36302E5F" w14:textId="77777777" w:rsidR="001E32BC" w:rsidRPr="006821D6" w:rsidRDefault="001E32BC" w:rsidP="00DB54BF">
            <w:pPr>
              <w:jc w:val="both"/>
              <w:rPr>
                <w:rFonts w:ascii="Century Gothic" w:eastAsia="Calibri" w:hAnsi="Century Gothic" w:cs="Calibri"/>
                <w:sz w:val="20"/>
                <w:szCs w:val="20"/>
              </w:rPr>
            </w:pPr>
          </w:p>
        </w:tc>
        <w:tc>
          <w:tcPr>
            <w:tcW w:w="2754" w:type="dxa"/>
          </w:tcPr>
          <w:p w14:paraId="716FD2CB" w14:textId="02637127" w:rsidR="001E32BC" w:rsidRPr="006821D6" w:rsidRDefault="001E32BC" w:rsidP="00DB54BF">
            <w:pPr>
              <w:jc w:val="both"/>
              <w:rPr>
                <w:rFonts w:ascii="Century Gothic" w:eastAsia="Calibri" w:hAnsi="Century Gothic" w:cs="Calibri"/>
                <w:sz w:val="20"/>
                <w:szCs w:val="20"/>
              </w:rPr>
            </w:pPr>
          </w:p>
        </w:tc>
      </w:tr>
    </w:tbl>
    <w:p w14:paraId="7F63694A" w14:textId="77777777" w:rsidR="002E2EA5" w:rsidRPr="006821D6" w:rsidRDefault="002E2EA5" w:rsidP="00C128FC">
      <w:pPr>
        <w:rPr>
          <w:rFonts w:ascii="Century Gothic" w:hAnsi="Century Gothic"/>
          <w:sz w:val="20"/>
          <w:szCs w:val="20"/>
          <w:lang w:val="en-US"/>
        </w:rPr>
      </w:pPr>
    </w:p>
    <w:sectPr w:rsidR="002E2EA5" w:rsidRPr="006821D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1FAB9" w14:textId="77777777" w:rsidR="001F60AC" w:rsidRDefault="001F60AC" w:rsidP="007A3117">
      <w:r>
        <w:separator/>
      </w:r>
    </w:p>
  </w:endnote>
  <w:endnote w:type="continuationSeparator" w:id="0">
    <w:p w14:paraId="0936C672" w14:textId="77777777" w:rsidR="001F60AC" w:rsidRDefault="001F60A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4DDBB" w14:textId="77777777" w:rsidR="001F60AC" w:rsidRDefault="001F60AC" w:rsidP="007A3117">
      <w:r>
        <w:separator/>
      </w:r>
    </w:p>
  </w:footnote>
  <w:footnote w:type="continuationSeparator" w:id="0">
    <w:p w14:paraId="7F28CCC5" w14:textId="77777777" w:rsidR="001F60AC" w:rsidRDefault="001F60AC"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3"/>
  </w:num>
  <w:num w:numId="6" w16cid:durableId="13830228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E32BC"/>
    <w:rsid w:val="001F2DAE"/>
    <w:rsid w:val="001F42E7"/>
    <w:rsid w:val="001F60AC"/>
    <w:rsid w:val="001F7B76"/>
    <w:rsid w:val="002168C5"/>
    <w:rsid w:val="00222024"/>
    <w:rsid w:val="002D5138"/>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6821D6"/>
    <w:rsid w:val="00700A28"/>
    <w:rsid w:val="00730F75"/>
    <w:rsid w:val="0077475C"/>
    <w:rsid w:val="0078206F"/>
    <w:rsid w:val="007A3117"/>
    <w:rsid w:val="00827029"/>
    <w:rsid w:val="009B30E1"/>
    <w:rsid w:val="009D6487"/>
    <w:rsid w:val="00AC36ED"/>
    <w:rsid w:val="00C128FC"/>
    <w:rsid w:val="00C21D30"/>
    <w:rsid w:val="00C821B8"/>
    <w:rsid w:val="00CF1B0F"/>
    <w:rsid w:val="00DB04B4"/>
    <w:rsid w:val="00DB687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83727761-159C-474B-B3D4-BF863BBA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2025-02-12T18:09:00Z</dcterms:created>
  <dcterms:modified xsi:type="dcterms:W3CDTF">2025-02-12T18:09:00Z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