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2D497" w14:textId="11225CE8" w:rsidR="00DE54D2" w:rsidRDefault="00DE54D2"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41228495" w14:textId="035D0C4E" w:rsidR="00766B06" w:rsidRDefault="00766B06" w:rsidP="004A65E5">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B344C3">
        <w:rPr>
          <w:rFonts w:ascii="Tunga" w:eastAsia="MS Mincho" w:hAnsi="Tunga" w:cs="Tunga"/>
          <w:sz w:val="28"/>
          <w:szCs w:val="28"/>
        </w:rPr>
        <w:t>(Riverina Murray Preschool Alliance member)</w:t>
      </w:r>
    </w:p>
    <w:p w14:paraId="6276BF60" w14:textId="1845999B"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0098B872"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Pr>
          <w:rFonts w:ascii="Tunga" w:eastAsia="MS Mincho" w:hAnsi="Tunga" w:cs="Tunga"/>
          <w:b/>
          <w:sz w:val="28"/>
          <w:szCs w:val="28"/>
        </w:rPr>
        <w:t>2.5</w:t>
      </w:r>
      <w:r w:rsidR="00FD6D0F">
        <w:rPr>
          <w:rFonts w:ascii="Tunga" w:eastAsia="MS Mincho" w:hAnsi="Tunga" w:cs="Tunga"/>
          <w:b/>
          <w:sz w:val="28"/>
          <w:szCs w:val="28"/>
        </w:rPr>
        <w:t>.7</w:t>
      </w:r>
    </w:p>
    <w:p w14:paraId="7DE89679"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3E1A08">
        <w:rPr>
          <w:rFonts w:ascii="Tunga" w:eastAsia="MS Mincho" w:hAnsi="Tunga" w:cs="Tunga"/>
          <w:b/>
          <w:sz w:val="28"/>
          <w:szCs w:val="28"/>
        </w:rPr>
        <w:tab/>
        <w:t>Infecti</w:t>
      </w:r>
      <w:r w:rsidR="00F52D27">
        <w:rPr>
          <w:rFonts w:ascii="Tunga" w:eastAsia="MS Mincho" w:hAnsi="Tunga" w:cs="Tunga"/>
          <w:b/>
          <w:sz w:val="28"/>
          <w:szCs w:val="28"/>
        </w:rPr>
        <w:t xml:space="preserve">ous Diseases </w:t>
      </w:r>
      <w:r w:rsidR="00FD6D0F">
        <w:rPr>
          <w:rFonts w:ascii="Tunga" w:eastAsia="MS Mincho" w:hAnsi="Tunga" w:cs="Tunga"/>
          <w:b/>
          <w:sz w:val="28"/>
          <w:szCs w:val="28"/>
        </w:rPr>
        <w:t>during pregnancy</w:t>
      </w:r>
    </w:p>
    <w:p w14:paraId="5EE18E7A"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0E23C0B4" w14:textId="57E50A8E" w:rsidR="005C0530" w:rsidRPr="005C0530" w:rsidRDefault="005C0530" w:rsidP="004A65E5">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DATE</w:t>
      </w:r>
      <w:r w:rsidR="007239B5">
        <w:rPr>
          <w:rFonts w:ascii="Tunga" w:eastAsia="MS Mincho" w:hAnsi="Tunga" w:cs="Tunga"/>
          <w:b/>
          <w:sz w:val="28"/>
          <w:szCs w:val="28"/>
        </w:rPr>
        <w:t>:</w:t>
      </w:r>
      <w:r w:rsidR="007239B5">
        <w:rPr>
          <w:rFonts w:ascii="Tunga" w:eastAsia="MS Mincho" w:hAnsi="Tunga" w:cs="Tunga"/>
          <w:b/>
          <w:sz w:val="28"/>
          <w:szCs w:val="28"/>
        </w:rPr>
        <w:tab/>
      </w:r>
      <w:r w:rsidR="007239B5">
        <w:rPr>
          <w:rFonts w:ascii="Tunga" w:eastAsia="MS Mincho" w:hAnsi="Tunga" w:cs="Tunga"/>
          <w:b/>
          <w:sz w:val="28"/>
          <w:szCs w:val="28"/>
        </w:rPr>
        <w:tab/>
      </w:r>
      <w:r w:rsidR="003938F3">
        <w:rPr>
          <w:rFonts w:ascii="Tunga" w:eastAsia="MS Mincho" w:hAnsi="Tunga" w:cs="Tunga"/>
          <w:b/>
          <w:sz w:val="28"/>
          <w:szCs w:val="28"/>
        </w:rPr>
        <w:t xml:space="preserve"> </w:t>
      </w:r>
      <w:r w:rsidR="003938F3" w:rsidRPr="00B344C3">
        <w:rPr>
          <w:rFonts w:ascii="Tunga" w:eastAsia="MS Mincho" w:hAnsi="Tunga" w:cs="Tunga"/>
          <w:b/>
          <w:sz w:val="28"/>
          <w:szCs w:val="28"/>
        </w:rPr>
        <w:t>19/09/2024</w:t>
      </w:r>
      <w:r w:rsidR="007239B5">
        <w:rPr>
          <w:rFonts w:ascii="Tunga" w:eastAsia="MS Mincho" w:hAnsi="Tunga" w:cs="Tunga"/>
          <w:b/>
          <w:sz w:val="28"/>
          <w:szCs w:val="28"/>
        </w:rPr>
        <w:tab/>
      </w:r>
      <w:r w:rsidR="007239B5">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sz w:val="28"/>
          <w:szCs w:val="28"/>
        </w:rPr>
        <w:tab/>
      </w:r>
    </w:p>
    <w:p w14:paraId="0CA47FD4" w14:textId="77777777" w:rsidR="005C0530" w:rsidRP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1DC8919A" w14:textId="77777777" w:rsidR="005C0530" w:rsidRPr="00DE54D2"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DE54D2">
        <w:rPr>
          <w:rFonts w:ascii="Tunga" w:eastAsia="Times New Roman" w:hAnsi="Tunga" w:cs="Tunga"/>
          <w:b/>
          <w:bCs/>
          <w:sz w:val="28"/>
          <w:szCs w:val="28"/>
          <w:lang w:eastAsia="en-AU"/>
        </w:rPr>
        <w:t>Introduction</w:t>
      </w:r>
    </w:p>
    <w:p w14:paraId="32869384" w14:textId="141979C8" w:rsidR="00386386" w:rsidRPr="00DE54D2" w:rsidRDefault="00FD6D0F" w:rsidP="00FD6D0F">
      <w:pPr>
        <w:autoSpaceDE w:val="0"/>
        <w:autoSpaceDN w:val="0"/>
        <w:adjustRightInd w:val="0"/>
        <w:spacing w:after="0" w:line="240" w:lineRule="auto"/>
        <w:rPr>
          <w:rFonts w:ascii="Tunga" w:eastAsia="Times New Roman" w:hAnsi="Tunga" w:cs="Tunga"/>
          <w:bCs/>
          <w:sz w:val="28"/>
          <w:szCs w:val="28"/>
          <w:lang w:eastAsia="en-AU"/>
        </w:rPr>
      </w:pPr>
      <w:r w:rsidRPr="00DE54D2">
        <w:rPr>
          <w:rFonts w:ascii="Tunga" w:eastAsia="Times New Roman" w:hAnsi="Tunga" w:cs="Tunga"/>
          <w:bCs/>
          <w:sz w:val="28"/>
          <w:szCs w:val="28"/>
          <w:lang w:eastAsia="en-AU"/>
        </w:rPr>
        <w:t xml:space="preserve">Educators and other staff who are pregnant need to be aware of how some infections can affect their unborn child. </w:t>
      </w:r>
      <w:r w:rsidR="009A7F6A" w:rsidRPr="00DE54D2">
        <w:rPr>
          <w:rFonts w:ascii="Tunga" w:eastAsia="Times New Roman" w:hAnsi="Tunga" w:cs="Tunga"/>
          <w:bCs/>
          <w:sz w:val="28"/>
          <w:szCs w:val="28"/>
          <w:lang w:eastAsia="en-AU"/>
        </w:rPr>
        <w:t xml:space="preserve">Diseases such as Cytomegalovirus (CMV), Hand, foot and mouth </w:t>
      </w:r>
      <w:r w:rsidR="00DE54D2" w:rsidRPr="00DE54D2">
        <w:rPr>
          <w:rFonts w:ascii="Tunga" w:eastAsia="Times New Roman" w:hAnsi="Tunga" w:cs="Tunga"/>
          <w:bCs/>
          <w:sz w:val="28"/>
          <w:szCs w:val="28"/>
          <w:lang w:eastAsia="en-AU"/>
        </w:rPr>
        <w:t>disease, Human</w:t>
      </w:r>
      <w:r w:rsidR="009A7F6A" w:rsidRPr="00DE54D2">
        <w:rPr>
          <w:rFonts w:ascii="Tunga" w:eastAsia="Times New Roman" w:hAnsi="Tunga" w:cs="Tunga"/>
          <w:bCs/>
          <w:sz w:val="28"/>
          <w:szCs w:val="28"/>
          <w:lang w:eastAsia="en-AU"/>
        </w:rPr>
        <w:t xml:space="preserve"> parvovirus B19 (erythema </w:t>
      </w:r>
      <w:proofErr w:type="spellStart"/>
      <w:r w:rsidR="009A7F6A" w:rsidRPr="00DE54D2">
        <w:rPr>
          <w:rFonts w:ascii="Tunga" w:eastAsia="Times New Roman" w:hAnsi="Tunga" w:cs="Tunga"/>
          <w:bCs/>
          <w:sz w:val="28"/>
          <w:szCs w:val="28"/>
          <w:lang w:eastAsia="en-AU"/>
        </w:rPr>
        <w:t>infectiosum</w:t>
      </w:r>
      <w:proofErr w:type="spellEnd"/>
      <w:r w:rsidR="009A7F6A" w:rsidRPr="00DE54D2">
        <w:rPr>
          <w:rFonts w:ascii="Tunga" w:eastAsia="Times New Roman" w:hAnsi="Tunga" w:cs="Tunga"/>
          <w:bCs/>
          <w:sz w:val="28"/>
          <w:szCs w:val="28"/>
          <w:lang w:eastAsia="en-AU"/>
        </w:rPr>
        <w:t xml:space="preserve">, fifth disease), Rubella (German measles), Toxoplasmosis and Varicella (chickenpox) can be transmitted to an unborn child. </w:t>
      </w:r>
      <w:r w:rsidRPr="00DE54D2">
        <w:rPr>
          <w:rFonts w:ascii="Tunga" w:eastAsia="Times New Roman" w:hAnsi="Tunga" w:cs="Tunga"/>
          <w:bCs/>
          <w:sz w:val="28"/>
          <w:szCs w:val="28"/>
          <w:lang w:eastAsia="en-AU"/>
        </w:rPr>
        <w:t>If a staff member is pregnant, it is even more important than usual for the centre to make sure that all staff are following good infection control practices.</w:t>
      </w:r>
    </w:p>
    <w:p w14:paraId="6FD60F3C" w14:textId="77777777" w:rsidR="00FD6D0F" w:rsidRPr="00DE54D2" w:rsidRDefault="00FD6D0F" w:rsidP="00FD6D0F">
      <w:pPr>
        <w:autoSpaceDE w:val="0"/>
        <w:autoSpaceDN w:val="0"/>
        <w:adjustRightInd w:val="0"/>
        <w:spacing w:after="0" w:line="240" w:lineRule="auto"/>
        <w:rPr>
          <w:rFonts w:ascii="Tunga" w:eastAsia="Times New Roman" w:hAnsi="Tunga" w:cs="Tunga"/>
          <w:bCs/>
          <w:sz w:val="28"/>
          <w:szCs w:val="28"/>
          <w:lang w:eastAsia="en-AU"/>
        </w:rPr>
      </w:pPr>
    </w:p>
    <w:p w14:paraId="02135A4D" w14:textId="77777777" w:rsidR="005C0530" w:rsidRPr="00DE54D2"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DE54D2">
        <w:rPr>
          <w:rFonts w:ascii="Tunga" w:eastAsia="Times New Roman" w:hAnsi="Tunga" w:cs="Tunga"/>
          <w:b/>
          <w:bCs/>
          <w:sz w:val="28"/>
          <w:szCs w:val="28"/>
          <w:lang w:eastAsia="en-AU"/>
        </w:rPr>
        <w:t>Goals – What are we going to do?</w:t>
      </w:r>
    </w:p>
    <w:p w14:paraId="3B7BE5DC" w14:textId="77777777" w:rsidR="00FD6D0F" w:rsidRPr="00DE54D2" w:rsidRDefault="00FD6D0F" w:rsidP="00FD6D0F">
      <w:pPr>
        <w:autoSpaceDE w:val="0"/>
        <w:autoSpaceDN w:val="0"/>
        <w:adjustRightInd w:val="0"/>
        <w:spacing w:after="0" w:line="240" w:lineRule="auto"/>
        <w:rPr>
          <w:rFonts w:ascii="Tunga" w:eastAsia="Times New Roman" w:hAnsi="Tunga" w:cs="Tunga"/>
          <w:bCs/>
          <w:sz w:val="28"/>
          <w:szCs w:val="28"/>
          <w:lang w:eastAsia="en-AU"/>
        </w:rPr>
      </w:pPr>
      <w:r w:rsidRPr="00DE54D2">
        <w:rPr>
          <w:rFonts w:ascii="Tunga" w:eastAsia="Times New Roman" w:hAnsi="Tunga" w:cs="Tunga"/>
          <w:bCs/>
          <w:sz w:val="28"/>
          <w:szCs w:val="28"/>
          <w:lang w:eastAsia="en-AU"/>
        </w:rPr>
        <w:t>The service benefits from talking to public health units about notifiable diseases because public health staff may be able to explain to educators and other staff:</w:t>
      </w:r>
    </w:p>
    <w:p w14:paraId="1B2DF102" w14:textId="77777777" w:rsidR="00FD6D0F" w:rsidRPr="00DE54D2" w:rsidRDefault="00FD6D0F" w:rsidP="00FD6D0F">
      <w:pPr>
        <w:numPr>
          <w:ilvl w:val="0"/>
          <w:numId w:val="20"/>
        </w:numPr>
        <w:autoSpaceDE w:val="0"/>
        <w:autoSpaceDN w:val="0"/>
        <w:adjustRightInd w:val="0"/>
        <w:spacing w:after="0" w:line="240" w:lineRule="auto"/>
        <w:rPr>
          <w:rFonts w:ascii="Tunga" w:eastAsia="Times New Roman" w:hAnsi="Tunga" w:cs="Tunga"/>
          <w:bCs/>
          <w:sz w:val="28"/>
          <w:szCs w:val="28"/>
          <w:lang w:eastAsia="en-AU"/>
        </w:rPr>
      </w:pPr>
      <w:r w:rsidRPr="00DE54D2">
        <w:rPr>
          <w:rFonts w:ascii="Tunga" w:eastAsia="Times New Roman" w:hAnsi="Tunga" w:cs="Tunga"/>
          <w:bCs/>
          <w:sz w:val="28"/>
          <w:szCs w:val="28"/>
          <w:lang w:eastAsia="en-AU"/>
        </w:rPr>
        <w:t>the consequences of an infection to those working in education and care services</w:t>
      </w:r>
    </w:p>
    <w:p w14:paraId="4C839A2A" w14:textId="77777777" w:rsidR="00FD6D0F" w:rsidRPr="00DE54D2" w:rsidRDefault="00FD6D0F" w:rsidP="00FD6D0F">
      <w:pPr>
        <w:numPr>
          <w:ilvl w:val="0"/>
          <w:numId w:val="20"/>
        </w:numPr>
        <w:autoSpaceDE w:val="0"/>
        <w:autoSpaceDN w:val="0"/>
        <w:adjustRightInd w:val="0"/>
        <w:spacing w:after="0" w:line="240" w:lineRule="auto"/>
        <w:rPr>
          <w:rFonts w:ascii="Tunga" w:eastAsia="Times New Roman" w:hAnsi="Tunga" w:cs="Tunga"/>
          <w:bCs/>
          <w:sz w:val="28"/>
          <w:szCs w:val="28"/>
          <w:lang w:eastAsia="en-AU"/>
        </w:rPr>
      </w:pPr>
      <w:r w:rsidRPr="00DE54D2">
        <w:rPr>
          <w:rFonts w:ascii="Tunga" w:eastAsia="Times New Roman" w:hAnsi="Tunga" w:cs="Tunga"/>
          <w:bCs/>
          <w:sz w:val="28"/>
          <w:szCs w:val="28"/>
          <w:lang w:eastAsia="en-AU"/>
        </w:rPr>
        <w:t>how to control further spread of the infection appropriate infection control measures (e.g. vaccination, exclusion, education, environmental cleaning).</w:t>
      </w:r>
    </w:p>
    <w:p w14:paraId="6FBE1F30" w14:textId="77777777" w:rsidR="007E71AF" w:rsidRPr="00DE54D2" w:rsidRDefault="007E71AF" w:rsidP="007E71AF">
      <w:pPr>
        <w:autoSpaceDE w:val="0"/>
        <w:autoSpaceDN w:val="0"/>
        <w:adjustRightInd w:val="0"/>
        <w:spacing w:after="0" w:line="240" w:lineRule="auto"/>
        <w:rPr>
          <w:rFonts w:ascii="Tunga" w:eastAsia="Times New Roman" w:hAnsi="Tunga" w:cs="Tunga"/>
          <w:bCs/>
          <w:sz w:val="28"/>
          <w:szCs w:val="28"/>
          <w:lang w:eastAsia="en-AU"/>
        </w:rPr>
      </w:pPr>
      <w:r w:rsidRPr="00DE54D2">
        <w:rPr>
          <w:rFonts w:ascii="Tunga" w:eastAsia="Times New Roman" w:hAnsi="Tunga" w:cs="Tunga"/>
          <w:bCs/>
          <w:sz w:val="28"/>
          <w:szCs w:val="28"/>
          <w:lang w:eastAsia="en-AU"/>
        </w:rPr>
        <w:t xml:space="preserve">The Centre follows all recommended guidelines from relevant authorities regarding the prevention of infectious diseases and provides all staff with information on immunisation, vaccines and recognised exclusion periods defined by the National Health and Medical Research Council.  </w:t>
      </w:r>
    </w:p>
    <w:p w14:paraId="6BBF5DC9" w14:textId="77777777" w:rsidR="007E71AF" w:rsidRPr="00DE54D2" w:rsidRDefault="007E71AF" w:rsidP="007E71AF">
      <w:pPr>
        <w:autoSpaceDE w:val="0"/>
        <w:autoSpaceDN w:val="0"/>
        <w:adjustRightInd w:val="0"/>
        <w:spacing w:after="0" w:line="240" w:lineRule="auto"/>
        <w:rPr>
          <w:rFonts w:ascii="Tunga" w:eastAsia="Times New Roman" w:hAnsi="Tunga" w:cs="Tunga"/>
          <w:bCs/>
          <w:sz w:val="28"/>
          <w:szCs w:val="28"/>
          <w:lang w:eastAsia="en-AU"/>
        </w:rPr>
      </w:pPr>
    </w:p>
    <w:p w14:paraId="7173A94E" w14:textId="77777777" w:rsidR="00CD6465" w:rsidRPr="00DE54D2" w:rsidRDefault="00CD6465" w:rsidP="00CD6465">
      <w:pPr>
        <w:autoSpaceDE w:val="0"/>
        <w:autoSpaceDN w:val="0"/>
        <w:adjustRightInd w:val="0"/>
        <w:jc w:val="both"/>
        <w:rPr>
          <w:rFonts w:ascii="Tunga" w:hAnsi="Tunga" w:cs="Tunga"/>
          <w:b/>
          <w:bCs/>
          <w:sz w:val="28"/>
          <w:szCs w:val="28"/>
          <w:lang w:eastAsia="en-AU"/>
        </w:rPr>
      </w:pPr>
      <w:r w:rsidRPr="00DE54D2">
        <w:rPr>
          <w:rFonts w:ascii="Tunga" w:hAnsi="Tunga" w:cs="Tunga"/>
          <w:b/>
          <w:bCs/>
          <w:sz w:val="28"/>
          <w:szCs w:val="28"/>
          <w:lang w:eastAsia="en-AU"/>
        </w:rPr>
        <w:t>National Quality Framework, Quality Area 7 – Governance and Leadership</w:t>
      </w:r>
    </w:p>
    <w:p w14:paraId="7D331A55" w14:textId="77777777" w:rsidR="00CD6465" w:rsidRPr="00DE54D2" w:rsidRDefault="00CD6465" w:rsidP="00CD6465">
      <w:pPr>
        <w:autoSpaceDE w:val="0"/>
        <w:autoSpaceDN w:val="0"/>
        <w:adjustRightInd w:val="0"/>
        <w:jc w:val="both"/>
        <w:rPr>
          <w:rFonts w:ascii="Tunga" w:hAnsi="Tunga" w:cs="Tunga"/>
          <w:b/>
          <w:bCs/>
          <w:i/>
          <w:sz w:val="28"/>
          <w:szCs w:val="28"/>
          <w:lang w:eastAsia="en-AU"/>
        </w:rPr>
      </w:pPr>
      <w:r w:rsidRPr="00DE54D2">
        <w:rPr>
          <w:rFonts w:ascii="Tunga" w:hAnsi="Tunga" w:cs="Tunga"/>
          <w:b/>
          <w:bCs/>
          <w:i/>
          <w:sz w:val="28"/>
          <w:szCs w:val="28"/>
          <w:lang w:eastAsia="en-AU"/>
        </w:rPr>
        <w:lastRenderedPageBreak/>
        <w:t>National Quality Framework Standard 7.1 Governance – Governance supports the operation of a quality service.</w:t>
      </w:r>
    </w:p>
    <w:p w14:paraId="2C86189B" w14:textId="77777777" w:rsidR="00CD6465" w:rsidRPr="00DE54D2" w:rsidRDefault="00CD6465" w:rsidP="00CD6465">
      <w:pPr>
        <w:numPr>
          <w:ilvl w:val="0"/>
          <w:numId w:val="25"/>
        </w:numPr>
        <w:autoSpaceDE w:val="0"/>
        <w:autoSpaceDN w:val="0"/>
        <w:adjustRightInd w:val="0"/>
        <w:spacing w:after="0" w:line="240" w:lineRule="auto"/>
        <w:jc w:val="both"/>
        <w:rPr>
          <w:rFonts w:ascii="Tunga" w:hAnsi="Tunga" w:cs="Tunga"/>
          <w:sz w:val="28"/>
          <w:szCs w:val="28"/>
          <w:lang w:eastAsia="en-AU"/>
        </w:rPr>
      </w:pPr>
      <w:r w:rsidRPr="00DE54D2">
        <w:rPr>
          <w:rFonts w:ascii="Tunga" w:hAnsi="Tunga" w:cs="Tunga"/>
          <w:sz w:val="28"/>
          <w:szCs w:val="28"/>
          <w:lang w:eastAsia="en-AU"/>
        </w:rPr>
        <w:t>7.1.2 Management systems – Systems are in place to manage risk and enable the effective management and operation of a quality service.</w:t>
      </w:r>
    </w:p>
    <w:p w14:paraId="2F6AB12D" w14:textId="77777777" w:rsidR="00CD6465" w:rsidRPr="00DE54D2" w:rsidRDefault="00CD6465" w:rsidP="00CD6465">
      <w:pPr>
        <w:numPr>
          <w:ilvl w:val="0"/>
          <w:numId w:val="25"/>
        </w:numPr>
        <w:autoSpaceDE w:val="0"/>
        <w:autoSpaceDN w:val="0"/>
        <w:adjustRightInd w:val="0"/>
        <w:spacing w:after="0" w:line="240" w:lineRule="auto"/>
        <w:jc w:val="both"/>
        <w:rPr>
          <w:rFonts w:ascii="Tunga" w:hAnsi="Tunga" w:cs="Tunga"/>
          <w:sz w:val="28"/>
          <w:szCs w:val="28"/>
          <w:lang w:eastAsia="en-AU"/>
        </w:rPr>
      </w:pPr>
      <w:r w:rsidRPr="00DE54D2">
        <w:rPr>
          <w:rFonts w:ascii="Tunga" w:hAnsi="Tunga" w:cs="Tunga"/>
          <w:sz w:val="28"/>
          <w:szCs w:val="28"/>
          <w:lang w:eastAsia="en-AU"/>
        </w:rPr>
        <w:t>7.1.3 Roles and responsibilities – Roles and responsibilities are clearly defined, and understood, and support effective decision-</w:t>
      </w:r>
      <w:proofErr w:type="gramStart"/>
      <w:r w:rsidRPr="00DE54D2">
        <w:rPr>
          <w:rFonts w:ascii="Tunga" w:hAnsi="Tunga" w:cs="Tunga"/>
          <w:sz w:val="28"/>
          <w:szCs w:val="28"/>
          <w:lang w:eastAsia="en-AU"/>
        </w:rPr>
        <w:t>making  and</w:t>
      </w:r>
      <w:proofErr w:type="gramEnd"/>
      <w:r w:rsidRPr="00DE54D2">
        <w:rPr>
          <w:rFonts w:ascii="Tunga" w:hAnsi="Tunga" w:cs="Tunga"/>
          <w:sz w:val="28"/>
          <w:szCs w:val="28"/>
          <w:lang w:eastAsia="en-AU"/>
        </w:rPr>
        <w:t xml:space="preserve"> operation of the service.</w:t>
      </w:r>
    </w:p>
    <w:p w14:paraId="2B1BCE09" w14:textId="77777777" w:rsidR="009A7F6A" w:rsidRPr="00DE54D2" w:rsidRDefault="009A7F6A" w:rsidP="00FD6D0F">
      <w:pPr>
        <w:autoSpaceDE w:val="0"/>
        <w:autoSpaceDN w:val="0"/>
        <w:adjustRightInd w:val="0"/>
        <w:spacing w:after="0" w:line="240" w:lineRule="auto"/>
        <w:rPr>
          <w:rFonts w:ascii="Tunga" w:eastAsia="Times New Roman" w:hAnsi="Tunga" w:cs="Tunga"/>
          <w:bCs/>
          <w:sz w:val="28"/>
          <w:szCs w:val="28"/>
          <w:lang w:eastAsia="en-AU"/>
        </w:rPr>
      </w:pPr>
    </w:p>
    <w:p w14:paraId="64BBFC12" w14:textId="77777777" w:rsidR="00FD6D0F" w:rsidRPr="00DE54D2" w:rsidRDefault="00FD6D0F" w:rsidP="00FD6D0F">
      <w:pPr>
        <w:autoSpaceDE w:val="0"/>
        <w:autoSpaceDN w:val="0"/>
        <w:adjustRightInd w:val="0"/>
        <w:spacing w:after="0" w:line="240" w:lineRule="auto"/>
        <w:rPr>
          <w:rFonts w:ascii="Tunga" w:eastAsia="Times New Roman" w:hAnsi="Tunga" w:cs="Tunga"/>
          <w:b/>
          <w:bCs/>
          <w:sz w:val="28"/>
          <w:szCs w:val="28"/>
          <w:lang w:eastAsia="en-AU"/>
        </w:rPr>
      </w:pPr>
      <w:r w:rsidRPr="00DE54D2">
        <w:rPr>
          <w:rFonts w:ascii="Tunga" w:eastAsia="Times New Roman" w:hAnsi="Tunga" w:cs="Tunga"/>
          <w:b/>
          <w:bCs/>
          <w:sz w:val="28"/>
          <w:szCs w:val="28"/>
          <w:lang w:eastAsia="en-AU"/>
        </w:rPr>
        <w:t xml:space="preserve">Strategies – How </w:t>
      </w:r>
      <w:r w:rsidR="007E71AF" w:rsidRPr="00DE54D2">
        <w:rPr>
          <w:rFonts w:ascii="Tunga" w:eastAsia="Times New Roman" w:hAnsi="Tunga" w:cs="Tunga"/>
          <w:b/>
          <w:bCs/>
          <w:sz w:val="28"/>
          <w:szCs w:val="28"/>
          <w:lang w:eastAsia="en-AU"/>
        </w:rPr>
        <w:t>will it be done</w:t>
      </w:r>
      <w:r w:rsidRPr="00DE54D2">
        <w:rPr>
          <w:rFonts w:ascii="Tunga" w:eastAsia="Times New Roman" w:hAnsi="Tunga" w:cs="Tunga"/>
          <w:b/>
          <w:bCs/>
          <w:sz w:val="28"/>
          <w:szCs w:val="28"/>
          <w:lang w:eastAsia="en-AU"/>
        </w:rPr>
        <w:t>?</w:t>
      </w:r>
    </w:p>
    <w:p w14:paraId="1AC21F59" w14:textId="77777777" w:rsidR="007E71AF" w:rsidRPr="00DE54D2" w:rsidRDefault="007E71AF" w:rsidP="00FD6D0F">
      <w:pPr>
        <w:autoSpaceDE w:val="0"/>
        <w:autoSpaceDN w:val="0"/>
        <w:adjustRightInd w:val="0"/>
        <w:spacing w:after="0" w:line="240" w:lineRule="auto"/>
        <w:rPr>
          <w:rFonts w:ascii="Tunga" w:eastAsia="Times New Roman" w:hAnsi="Tunga" w:cs="Tunga"/>
          <w:b/>
          <w:bCs/>
          <w:sz w:val="28"/>
          <w:szCs w:val="28"/>
          <w:lang w:eastAsia="en-AU"/>
        </w:rPr>
      </w:pPr>
      <w:r w:rsidRPr="00DE54D2">
        <w:rPr>
          <w:rFonts w:ascii="Tunga" w:eastAsia="Times New Roman" w:hAnsi="Tunga" w:cs="Tunga"/>
          <w:b/>
          <w:bCs/>
          <w:sz w:val="28"/>
          <w:szCs w:val="28"/>
          <w:lang w:eastAsia="en-AU"/>
        </w:rPr>
        <w:t>The Nominated Supervisor will:</w:t>
      </w:r>
    </w:p>
    <w:p w14:paraId="243966E3" w14:textId="3061B06B" w:rsidR="007E71AF" w:rsidRPr="00DE54D2" w:rsidRDefault="007E71AF" w:rsidP="007E71AF">
      <w:pPr>
        <w:numPr>
          <w:ilvl w:val="0"/>
          <w:numId w:val="22"/>
        </w:numPr>
        <w:rPr>
          <w:rFonts w:ascii="Tunga" w:eastAsia="Times New Roman" w:hAnsi="Tunga" w:cs="Tunga"/>
          <w:bCs/>
          <w:sz w:val="28"/>
          <w:szCs w:val="28"/>
          <w:lang w:eastAsia="en-AU"/>
        </w:rPr>
      </w:pPr>
      <w:r w:rsidRPr="00DE54D2">
        <w:rPr>
          <w:rFonts w:ascii="Tunga" w:eastAsia="Times New Roman" w:hAnsi="Tunga" w:cs="Tunga"/>
          <w:bCs/>
          <w:sz w:val="28"/>
          <w:szCs w:val="28"/>
          <w:lang w:eastAsia="en-AU"/>
        </w:rPr>
        <w:t>Provide relevant sourced materials to staff in their orientation handbooks when they commence at the Centre about</w:t>
      </w:r>
      <w:r w:rsidRPr="00DE54D2">
        <w:t xml:space="preserve"> </w:t>
      </w:r>
      <w:r w:rsidRPr="00DE54D2">
        <w:rPr>
          <w:rFonts w:ascii="Tunga" w:eastAsia="Times New Roman" w:hAnsi="Tunga" w:cs="Tunga"/>
          <w:bCs/>
          <w:sz w:val="28"/>
          <w:szCs w:val="28"/>
          <w:lang w:eastAsia="en-AU"/>
        </w:rPr>
        <w:t>the recommended immunisations for people working with children as per the Immunisation Handbook</w:t>
      </w:r>
      <w:r w:rsidR="00CD6465" w:rsidRPr="00DE54D2">
        <w:rPr>
          <w:rFonts w:ascii="Tunga" w:eastAsia="Times New Roman" w:hAnsi="Tunga" w:cs="Tunga"/>
          <w:bCs/>
          <w:sz w:val="28"/>
          <w:szCs w:val="28"/>
          <w:lang w:eastAsia="en-AU"/>
        </w:rPr>
        <w:t xml:space="preserve"> (2018)</w:t>
      </w:r>
      <w:r w:rsidRPr="00DE54D2">
        <w:rPr>
          <w:rFonts w:ascii="Tunga" w:eastAsia="Times New Roman" w:hAnsi="Tunga" w:cs="Tunga"/>
          <w:bCs/>
          <w:sz w:val="28"/>
          <w:szCs w:val="28"/>
          <w:lang w:eastAsia="en-AU"/>
        </w:rPr>
        <w:t xml:space="preserve"> </w:t>
      </w:r>
      <w:hyperlink r:id="rId8" w:history="1">
        <w:r w:rsidR="00CD1217" w:rsidRPr="00DE54D2">
          <w:rPr>
            <w:rStyle w:val="Hyperlink"/>
          </w:rPr>
          <w:t>https://immunisationhandbook.health.gov.au/resources/handbook-tables/table-vaccines-that-are-routinely-recommended-in-pregnancy-inactivated</w:t>
        </w:r>
      </w:hyperlink>
    </w:p>
    <w:p w14:paraId="492CC5DE" w14:textId="77777777" w:rsidR="000523C0" w:rsidRPr="00DE54D2" w:rsidRDefault="007E71AF" w:rsidP="007E71AF">
      <w:pPr>
        <w:numPr>
          <w:ilvl w:val="0"/>
          <w:numId w:val="22"/>
        </w:numPr>
        <w:autoSpaceDE w:val="0"/>
        <w:autoSpaceDN w:val="0"/>
        <w:adjustRightInd w:val="0"/>
        <w:spacing w:after="0" w:line="240" w:lineRule="auto"/>
        <w:rPr>
          <w:rFonts w:ascii="Tunga" w:eastAsia="Times New Roman" w:hAnsi="Tunga" w:cs="Tunga"/>
          <w:bCs/>
          <w:sz w:val="28"/>
          <w:szCs w:val="28"/>
          <w:lang w:eastAsia="en-AU"/>
        </w:rPr>
      </w:pPr>
      <w:r w:rsidRPr="00DE54D2">
        <w:rPr>
          <w:rFonts w:ascii="Tunga" w:eastAsia="Times New Roman" w:hAnsi="Tunga" w:cs="Tunga"/>
          <w:bCs/>
          <w:sz w:val="28"/>
          <w:szCs w:val="28"/>
          <w:lang w:eastAsia="en-AU"/>
        </w:rPr>
        <w:t xml:space="preserve">Provide fact sheets regarding </w:t>
      </w:r>
      <w:proofErr w:type="gramStart"/>
      <w:r w:rsidRPr="00DE54D2">
        <w:rPr>
          <w:rFonts w:ascii="Tunga" w:eastAsia="Times New Roman" w:hAnsi="Tunga" w:cs="Tunga"/>
          <w:bCs/>
          <w:sz w:val="28"/>
          <w:szCs w:val="28"/>
          <w:lang w:eastAsia="en-AU"/>
        </w:rPr>
        <w:t>particular risks</w:t>
      </w:r>
      <w:proofErr w:type="gramEnd"/>
      <w:r w:rsidRPr="00DE54D2">
        <w:rPr>
          <w:rFonts w:ascii="Tunga" w:eastAsia="Times New Roman" w:hAnsi="Tunga" w:cs="Tunga"/>
          <w:bCs/>
          <w:sz w:val="28"/>
          <w:szCs w:val="28"/>
          <w:lang w:eastAsia="en-AU"/>
        </w:rPr>
        <w:t xml:space="preserve"> </w:t>
      </w:r>
      <w:r w:rsidR="000523C0" w:rsidRPr="00DE54D2">
        <w:rPr>
          <w:rFonts w:ascii="Tunga" w:eastAsia="Times New Roman" w:hAnsi="Tunga" w:cs="Tunga"/>
          <w:bCs/>
          <w:sz w:val="28"/>
          <w:szCs w:val="28"/>
          <w:lang w:eastAsia="en-AU"/>
        </w:rPr>
        <w:t>for pregnant staff of exposure to</w:t>
      </w:r>
      <w:r w:rsidRPr="00DE54D2">
        <w:rPr>
          <w:rFonts w:ascii="Tunga" w:eastAsia="Times New Roman" w:hAnsi="Tunga" w:cs="Tunga"/>
          <w:bCs/>
          <w:sz w:val="28"/>
          <w:szCs w:val="28"/>
          <w:lang w:eastAsia="en-AU"/>
        </w:rPr>
        <w:t xml:space="preserve"> some infectious diseases.</w:t>
      </w:r>
    </w:p>
    <w:p w14:paraId="55AFA05A" w14:textId="77777777" w:rsidR="000523C0" w:rsidRPr="00DE54D2" w:rsidRDefault="000523C0" w:rsidP="000523C0">
      <w:pPr>
        <w:numPr>
          <w:ilvl w:val="0"/>
          <w:numId w:val="22"/>
        </w:numPr>
        <w:jc w:val="both"/>
        <w:rPr>
          <w:rFonts w:ascii="Tunga" w:eastAsia="Times New Roman" w:hAnsi="Tunga" w:cs="Tunga"/>
          <w:bCs/>
          <w:sz w:val="28"/>
          <w:szCs w:val="28"/>
          <w:lang w:eastAsia="en-AU"/>
        </w:rPr>
      </w:pPr>
      <w:r w:rsidRPr="00DE54D2">
        <w:rPr>
          <w:rFonts w:ascii="Tunga" w:eastAsia="Times New Roman" w:hAnsi="Tunga" w:cs="Tunga"/>
          <w:bCs/>
          <w:sz w:val="28"/>
          <w:szCs w:val="28"/>
          <w:lang w:eastAsia="en-AU"/>
        </w:rPr>
        <w:t xml:space="preserve">Recommend to female centre staff that they seek advice from their local doctor about immunisation needs before planning pregnancy. </w:t>
      </w:r>
    </w:p>
    <w:p w14:paraId="4DA77A35" w14:textId="77777777" w:rsidR="0043650F" w:rsidRPr="00DE54D2" w:rsidRDefault="0043650F" w:rsidP="0043650F">
      <w:pPr>
        <w:numPr>
          <w:ilvl w:val="0"/>
          <w:numId w:val="22"/>
        </w:numPr>
        <w:jc w:val="both"/>
        <w:rPr>
          <w:rFonts w:ascii="Tunga" w:eastAsia="Times New Roman" w:hAnsi="Tunga" w:cs="Tunga"/>
          <w:bCs/>
          <w:sz w:val="28"/>
          <w:szCs w:val="28"/>
          <w:lang w:eastAsia="en-AU"/>
        </w:rPr>
      </w:pPr>
      <w:r w:rsidRPr="00DE54D2">
        <w:rPr>
          <w:rFonts w:ascii="Tunga" w:eastAsia="Times New Roman" w:hAnsi="Tunga" w:cs="Tunga"/>
          <w:bCs/>
          <w:sz w:val="28"/>
          <w:szCs w:val="28"/>
          <w:lang w:eastAsia="en-AU"/>
        </w:rPr>
        <w:t>Encourage pregnant women to consider strategies to reduce their risk of infection, including regularly performing effective hand hygiene, and ensuring immunity to vaccine-preventable diseases either through recommended immunisations schedule, booster injections or blood tests to confirm status.</w:t>
      </w:r>
    </w:p>
    <w:p w14:paraId="2D08111B" w14:textId="77777777" w:rsidR="000523C0" w:rsidRPr="00DE54D2" w:rsidRDefault="000523C0" w:rsidP="009A7F6A">
      <w:pPr>
        <w:numPr>
          <w:ilvl w:val="0"/>
          <w:numId w:val="22"/>
        </w:numPr>
        <w:jc w:val="both"/>
        <w:rPr>
          <w:rFonts w:ascii="Tunga" w:eastAsia="Times New Roman" w:hAnsi="Tunga" w:cs="Tunga"/>
          <w:bCs/>
          <w:sz w:val="28"/>
          <w:szCs w:val="28"/>
          <w:lang w:eastAsia="en-AU"/>
        </w:rPr>
      </w:pPr>
      <w:r w:rsidRPr="00DE54D2">
        <w:rPr>
          <w:rFonts w:ascii="Tunga" w:hAnsi="Tunga" w:cs="Tunga"/>
          <w:bCs/>
          <w:sz w:val="28"/>
          <w:szCs w:val="28"/>
          <w:lang w:eastAsia="en-AU"/>
        </w:rPr>
        <w:t xml:space="preserve">Advise </w:t>
      </w:r>
      <w:r w:rsidR="009A7F6A" w:rsidRPr="00DE54D2">
        <w:rPr>
          <w:rFonts w:ascii="Tunga" w:hAnsi="Tunga" w:cs="Tunga"/>
          <w:bCs/>
          <w:sz w:val="28"/>
          <w:szCs w:val="28"/>
          <w:lang w:eastAsia="en-AU"/>
        </w:rPr>
        <w:t>n</w:t>
      </w:r>
      <w:r w:rsidRPr="00DE54D2">
        <w:rPr>
          <w:rFonts w:ascii="Tunga" w:hAnsi="Tunga" w:cs="Tunga"/>
          <w:bCs/>
          <w:sz w:val="28"/>
          <w:szCs w:val="28"/>
          <w:lang w:eastAsia="en-AU"/>
        </w:rPr>
        <w:t>on-immune Educators that they</w:t>
      </w:r>
      <w:r w:rsidRPr="00DE54D2">
        <w:t xml:space="preserve"> </w:t>
      </w:r>
      <w:r w:rsidRPr="00DE54D2">
        <w:rPr>
          <w:rFonts w:ascii="Tunga" w:hAnsi="Tunga" w:cs="Tunga"/>
          <w:bCs/>
          <w:sz w:val="28"/>
          <w:szCs w:val="28"/>
          <w:lang w:eastAsia="en-AU"/>
        </w:rPr>
        <w:t xml:space="preserve">should consult their doctor to determine if it is appropriate for them not to attend work during the outbreak of an infectious disease and discuss any issues relating to their immunisation or other medical management. </w:t>
      </w:r>
    </w:p>
    <w:p w14:paraId="29850816" w14:textId="77777777" w:rsidR="007E71AF" w:rsidRPr="00DE54D2" w:rsidRDefault="007E71AF" w:rsidP="000523C0">
      <w:pPr>
        <w:autoSpaceDE w:val="0"/>
        <w:autoSpaceDN w:val="0"/>
        <w:adjustRightInd w:val="0"/>
        <w:spacing w:after="0" w:line="240" w:lineRule="auto"/>
        <w:ind w:left="720"/>
        <w:rPr>
          <w:rFonts w:ascii="Tunga" w:eastAsia="Times New Roman" w:hAnsi="Tunga" w:cs="Tunga"/>
          <w:bCs/>
          <w:sz w:val="28"/>
          <w:szCs w:val="28"/>
          <w:lang w:eastAsia="en-AU"/>
        </w:rPr>
      </w:pPr>
      <w:r w:rsidRPr="00DE54D2">
        <w:rPr>
          <w:rFonts w:ascii="Tunga" w:eastAsia="Times New Roman" w:hAnsi="Tunga" w:cs="Tunga"/>
          <w:bCs/>
          <w:sz w:val="28"/>
          <w:szCs w:val="28"/>
          <w:lang w:eastAsia="en-AU"/>
        </w:rPr>
        <w:t xml:space="preserve"> </w:t>
      </w:r>
    </w:p>
    <w:p w14:paraId="6F93EE35" w14:textId="77777777" w:rsidR="007E71AF" w:rsidRPr="00DE54D2" w:rsidRDefault="007E71AF" w:rsidP="00FD6D0F">
      <w:pPr>
        <w:autoSpaceDE w:val="0"/>
        <w:autoSpaceDN w:val="0"/>
        <w:adjustRightInd w:val="0"/>
        <w:spacing w:after="0" w:line="240" w:lineRule="auto"/>
        <w:rPr>
          <w:rFonts w:ascii="Tunga" w:eastAsia="Times New Roman" w:hAnsi="Tunga" w:cs="Tunga"/>
          <w:b/>
          <w:bCs/>
          <w:sz w:val="28"/>
          <w:szCs w:val="28"/>
          <w:lang w:eastAsia="en-AU"/>
        </w:rPr>
      </w:pPr>
      <w:r w:rsidRPr="00DE54D2">
        <w:rPr>
          <w:rFonts w:ascii="Tunga" w:eastAsia="Times New Roman" w:hAnsi="Tunga" w:cs="Tunga"/>
          <w:b/>
          <w:bCs/>
          <w:sz w:val="28"/>
          <w:szCs w:val="28"/>
          <w:lang w:eastAsia="en-AU"/>
        </w:rPr>
        <w:t>Educators will:</w:t>
      </w:r>
    </w:p>
    <w:p w14:paraId="19266CA1" w14:textId="77777777" w:rsidR="0043650F" w:rsidRPr="00DE54D2" w:rsidRDefault="0043650F" w:rsidP="0043650F">
      <w:pPr>
        <w:numPr>
          <w:ilvl w:val="0"/>
          <w:numId w:val="23"/>
        </w:numPr>
        <w:jc w:val="both"/>
        <w:rPr>
          <w:rFonts w:ascii="Tunga" w:eastAsia="Times New Roman" w:hAnsi="Tunga" w:cs="Tunga"/>
          <w:bCs/>
          <w:sz w:val="28"/>
          <w:szCs w:val="28"/>
          <w:lang w:eastAsia="en-AU"/>
        </w:rPr>
      </w:pPr>
      <w:r w:rsidRPr="00DE54D2">
        <w:rPr>
          <w:rFonts w:ascii="Tunga" w:eastAsia="Times New Roman" w:hAnsi="Tunga" w:cs="Tunga"/>
          <w:bCs/>
          <w:sz w:val="28"/>
          <w:szCs w:val="28"/>
          <w:lang w:eastAsia="en-AU"/>
        </w:rPr>
        <w:t>Comply with the requirements in policy 4.4.1 Staff Immunisation</w:t>
      </w:r>
    </w:p>
    <w:p w14:paraId="72221C40" w14:textId="77777777" w:rsidR="000523C0" w:rsidRPr="00DE54D2" w:rsidRDefault="007E71AF" w:rsidP="0043650F">
      <w:pPr>
        <w:numPr>
          <w:ilvl w:val="0"/>
          <w:numId w:val="23"/>
        </w:numPr>
        <w:jc w:val="both"/>
        <w:rPr>
          <w:rFonts w:ascii="Tunga" w:eastAsia="Times New Roman" w:hAnsi="Tunga" w:cs="Tunga"/>
          <w:bCs/>
          <w:sz w:val="28"/>
          <w:szCs w:val="28"/>
          <w:lang w:eastAsia="en-AU"/>
        </w:rPr>
      </w:pPr>
      <w:r w:rsidRPr="00DE54D2">
        <w:rPr>
          <w:rFonts w:ascii="Tunga" w:eastAsia="Times New Roman" w:hAnsi="Tunga" w:cs="Tunga"/>
          <w:bCs/>
          <w:sz w:val="28"/>
          <w:szCs w:val="28"/>
          <w:lang w:eastAsia="en-AU"/>
        </w:rPr>
        <w:t>Maintain their own immunisation status, and advise Nominated Supervisor of any updates to their immunisation status;</w:t>
      </w:r>
    </w:p>
    <w:p w14:paraId="21A2B332" w14:textId="77777777" w:rsidR="000523C0" w:rsidRPr="00DE54D2" w:rsidRDefault="007E71AF" w:rsidP="000523C0">
      <w:pPr>
        <w:numPr>
          <w:ilvl w:val="0"/>
          <w:numId w:val="23"/>
        </w:numPr>
        <w:rPr>
          <w:rFonts w:ascii="Tunga" w:eastAsia="Times New Roman" w:hAnsi="Tunga" w:cs="Tunga"/>
          <w:bCs/>
          <w:sz w:val="28"/>
          <w:szCs w:val="28"/>
          <w:lang w:eastAsia="en-AU"/>
        </w:rPr>
      </w:pPr>
      <w:r w:rsidRPr="00DE54D2">
        <w:rPr>
          <w:rFonts w:ascii="Tunga" w:eastAsia="Times New Roman" w:hAnsi="Tunga" w:cs="Tunga"/>
          <w:bCs/>
          <w:sz w:val="28"/>
          <w:szCs w:val="28"/>
          <w:lang w:eastAsia="en-AU"/>
        </w:rPr>
        <w:t>Implement appropriate health and safety procedures</w:t>
      </w:r>
      <w:r w:rsidR="000523C0" w:rsidRPr="00DE54D2">
        <w:rPr>
          <w:rFonts w:ascii="Tunga" w:eastAsia="Times New Roman" w:hAnsi="Tunga" w:cs="Tunga"/>
          <w:bCs/>
          <w:sz w:val="28"/>
          <w:szCs w:val="28"/>
          <w:lang w:eastAsia="en-AU"/>
        </w:rPr>
        <w:t>, when tending to ill children</w:t>
      </w:r>
    </w:p>
    <w:p w14:paraId="79C14706" w14:textId="77777777" w:rsidR="000523C0" w:rsidRPr="00DE54D2" w:rsidRDefault="000523C0" w:rsidP="000523C0">
      <w:pPr>
        <w:numPr>
          <w:ilvl w:val="0"/>
          <w:numId w:val="23"/>
        </w:numPr>
        <w:rPr>
          <w:rFonts w:ascii="Tunga" w:eastAsia="Times New Roman" w:hAnsi="Tunga" w:cs="Tunga"/>
          <w:bCs/>
          <w:sz w:val="28"/>
          <w:szCs w:val="28"/>
          <w:lang w:eastAsia="en-AU"/>
        </w:rPr>
      </w:pPr>
      <w:r w:rsidRPr="00DE54D2">
        <w:rPr>
          <w:rFonts w:ascii="Tunga" w:eastAsia="Times New Roman" w:hAnsi="Tunga" w:cs="Tunga"/>
          <w:bCs/>
          <w:sz w:val="28"/>
          <w:szCs w:val="28"/>
          <w:lang w:eastAsia="en-AU"/>
        </w:rPr>
        <w:t>Take active steps to reduce risk of specific infectious diseases that can have adverse impacts on pregnancy</w:t>
      </w:r>
    </w:p>
    <w:p w14:paraId="06CEA46C" w14:textId="77777777" w:rsidR="0043650F" w:rsidRPr="00DE54D2" w:rsidRDefault="0043650F" w:rsidP="0043650F">
      <w:pPr>
        <w:numPr>
          <w:ilvl w:val="0"/>
          <w:numId w:val="23"/>
        </w:numPr>
        <w:rPr>
          <w:rFonts w:ascii="Tunga" w:eastAsia="Times New Roman" w:hAnsi="Tunga" w:cs="Tunga"/>
          <w:bCs/>
          <w:sz w:val="28"/>
          <w:szCs w:val="28"/>
          <w:lang w:eastAsia="en-AU"/>
        </w:rPr>
      </w:pPr>
      <w:r w:rsidRPr="00DE54D2">
        <w:rPr>
          <w:rFonts w:ascii="Tunga" w:eastAsia="Times New Roman" w:hAnsi="Tunga" w:cs="Tunga"/>
          <w:bCs/>
          <w:sz w:val="28"/>
          <w:szCs w:val="28"/>
          <w:lang w:eastAsia="en-AU"/>
        </w:rPr>
        <w:t>Seek advice from their doctor about vaccinations. Some vaccinations are not recommended during pregnancy, or if a person has a disease or is undergoing treatment that affects their immune system.</w:t>
      </w:r>
    </w:p>
    <w:p w14:paraId="408684CC" w14:textId="28EC8C44" w:rsidR="009A7F6A" w:rsidRPr="00DE54D2" w:rsidRDefault="009A7F6A" w:rsidP="009A7F6A">
      <w:pPr>
        <w:autoSpaceDE w:val="0"/>
        <w:autoSpaceDN w:val="0"/>
        <w:adjustRightInd w:val="0"/>
        <w:jc w:val="both"/>
        <w:rPr>
          <w:rFonts w:ascii="Tunga" w:hAnsi="Tunga" w:cs="Tunga"/>
          <w:b/>
          <w:bCs/>
          <w:sz w:val="28"/>
          <w:szCs w:val="28"/>
          <w:lang w:eastAsia="en-AU"/>
        </w:rPr>
      </w:pPr>
      <w:r w:rsidRPr="00DE54D2">
        <w:rPr>
          <w:rFonts w:ascii="Tunga" w:hAnsi="Tunga" w:cs="Tunga"/>
          <w:b/>
          <w:bCs/>
          <w:sz w:val="28"/>
          <w:szCs w:val="28"/>
          <w:lang w:eastAsia="en-AU"/>
        </w:rPr>
        <w:t xml:space="preserve">Specific diseases for which there is evidence for increased risk of exposure in </w:t>
      </w:r>
      <w:r w:rsidR="00DE54D2" w:rsidRPr="00DE54D2">
        <w:rPr>
          <w:rFonts w:ascii="Tunga" w:hAnsi="Tunga" w:cs="Tunga"/>
          <w:b/>
          <w:bCs/>
          <w:sz w:val="28"/>
          <w:szCs w:val="28"/>
          <w:lang w:eastAsia="en-AU"/>
        </w:rPr>
        <w:t>childcare</w:t>
      </w:r>
      <w:r w:rsidRPr="00DE54D2">
        <w:rPr>
          <w:rFonts w:ascii="Tunga" w:hAnsi="Tunga" w:cs="Tunga"/>
          <w:b/>
          <w:bCs/>
          <w:sz w:val="28"/>
          <w:szCs w:val="28"/>
          <w:lang w:eastAsia="en-AU"/>
        </w:rPr>
        <w:t xml:space="preserve"> and can have an adverse effect on pregnancy are:</w:t>
      </w:r>
    </w:p>
    <w:p w14:paraId="03A15D7B" w14:textId="77777777" w:rsidR="00FD6D0F" w:rsidRPr="00DE54D2" w:rsidRDefault="00FD6D0F" w:rsidP="009A7F6A">
      <w:pPr>
        <w:autoSpaceDE w:val="0"/>
        <w:autoSpaceDN w:val="0"/>
        <w:adjustRightInd w:val="0"/>
        <w:jc w:val="both"/>
        <w:rPr>
          <w:rFonts w:ascii="Tunga" w:hAnsi="Tunga" w:cs="Tunga"/>
          <w:b/>
          <w:bCs/>
          <w:sz w:val="28"/>
          <w:szCs w:val="28"/>
          <w:lang w:eastAsia="en-AU"/>
        </w:rPr>
      </w:pPr>
      <w:r w:rsidRPr="00DE54D2">
        <w:rPr>
          <w:rFonts w:ascii="Tunga" w:hAnsi="Tunga" w:cs="Tunga"/>
          <w:b/>
          <w:bCs/>
          <w:sz w:val="28"/>
          <w:szCs w:val="28"/>
          <w:lang w:eastAsia="en-AU"/>
        </w:rPr>
        <w:t>Cytomegalovirus (CMV)</w:t>
      </w:r>
    </w:p>
    <w:p w14:paraId="608BE337" w14:textId="77777777" w:rsidR="009A7F6A"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Cs/>
          <w:sz w:val="28"/>
          <w:szCs w:val="28"/>
          <w:lang w:eastAsia="en-AU"/>
        </w:rPr>
        <w:t>CMV infections can cause serious birth defects. The highest risk to the unborn child is during the first half</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of the pregnancy. CMV infection occurs in 1% or less of pregnancies and, of these cases, less than 10% of</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infants are likely to have severe illness.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CMV can spread through infected urine and saliva. Women of childbearing age working with young children</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should pay particular attention to good hand hygiene after contact with body secretions, especially after</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changing nappies or assisting in toilet care.</w:t>
      </w:r>
    </w:p>
    <w:p w14:paraId="7198A346" w14:textId="77777777" w:rsidR="00FD6D0F"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
          <w:bCs/>
          <w:sz w:val="28"/>
          <w:szCs w:val="28"/>
          <w:lang w:eastAsia="en-AU"/>
        </w:rPr>
        <w:t>Hand, foot and mouth disease</w:t>
      </w:r>
    </w:p>
    <w:p w14:paraId="07BC9CA9" w14:textId="77777777" w:rsidR="00FD6D0F"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Cs/>
          <w:sz w:val="28"/>
          <w:szCs w:val="28"/>
          <w:lang w:eastAsia="en-AU"/>
        </w:rPr>
        <w:t>Hand, foot and mouth disease is rare in adults. It is not a serious illness; infection with the virus that causes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it often produces mild symptoms or no symptoms at all. The risk associated with this disease during</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pregnancy is low; however, in extremely rare cases, it can cause miscarriage. If the mother becomes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infected shortly before giving birth, she can pass the infection on to the baby. Most infants born with hand,</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foot and mouth disease have mild symptoms, but complications in very rare cases can affect the infant’s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organs. Pregnant women should consider strategies to reduce their risk of infection, including regularly</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performing effective hand hygiene.</w:t>
      </w:r>
    </w:p>
    <w:p w14:paraId="69D2A5FB" w14:textId="77777777" w:rsidR="00FD6D0F" w:rsidRPr="00DE54D2" w:rsidRDefault="00FD6D0F" w:rsidP="009A7F6A">
      <w:pPr>
        <w:autoSpaceDE w:val="0"/>
        <w:autoSpaceDN w:val="0"/>
        <w:adjustRightInd w:val="0"/>
        <w:jc w:val="both"/>
        <w:rPr>
          <w:rFonts w:ascii="Tunga" w:hAnsi="Tunga" w:cs="Tunga"/>
          <w:b/>
          <w:bCs/>
          <w:sz w:val="28"/>
          <w:szCs w:val="28"/>
          <w:lang w:eastAsia="en-AU"/>
        </w:rPr>
      </w:pPr>
      <w:r w:rsidRPr="00DE54D2">
        <w:rPr>
          <w:rFonts w:ascii="Tunga" w:hAnsi="Tunga" w:cs="Tunga"/>
          <w:b/>
          <w:bCs/>
          <w:sz w:val="28"/>
          <w:szCs w:val="28"/>
          <w:lang w:eastAsia="en-AU"/>
        </w:rPr>
        <w:t xml:space="preserve">Human parvovirus B19 (erythema </w:t>
      </w:r>
      <w:proofErr w:type="spellStart"/>
      <w:r w:rsidRPr="00DE54D2">
        <w:rPr>
          <w:rFonts w:ascii="Tunga" w:hAnsi="Tunga" w:cs="Tunga"/>
          <w:b/>
          <w:bCs/>
          <w:sz w:val="28"/>
          <w:szCs w:val="28"/>
          <w:lang w:eastAsia="en-AU"/>
        </w:rPr>
        <w:t>infectiosum</w:t>
      </w:r>
      <w:proofErr w:type="spellEnd"/>
      <w:r w:rsidRPr="00DE54D2">
        <w:rPr>
          <w:rFonts w:ascii="Tunga" w:hAnsi="Tunga" w:cs="Tunga"/>
          <w:b/>
          <w:bCs/>
          <w:sz w:val="28"/>
          <w:szCs w:val="28"/>
          <w:lang w:eastAsia="en-AU"/>
        </w:rPr>
        <w:t>, fifth disease)</w:t>
      </w:r>
    </w:p>
    <w:p w14:paraId="51367CED" w14:textId="77777777" w:rsidR="00FD6D0F"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Cs/>
          <w:sz w:val="28"/>
          <w:szCs w:val="28"/>
          <w:lang w:eastAsia="en-AU"/>
        </w:rPr>
        <w:t>Infection with human parvovirus B19 generally causes a mild illness. However, if a pregnant woman is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infected, the virus may be transmitted to her unborn baby.</w:t>
      </w:r>
    </w:p>
    <w:p w14:paraId="32637BC5" w14:textId="77777777" w:rsidR="00FD6D0F"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Cs/>
          <w:sz w:val="28"/>
          <w:szCs w:val="28"/>
          <w:lang w:eastAsia="en-AU"/>
        </w:rPr>
        <w:t>In less than 5% of these cases, the virus may cause severe anaemia (low red blood cell count) in the baby,</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resulting in miscarriage. The risk of miscarriage is highest if the mother is infected during the first half of</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pregnancy. Infants who survive if the mother is infected do not have birth defects.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Pregnant women should consider strategies to reduce their risk of infection, including regularly performing</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effective hand hygiene.</w:t>
      </w:r>
    </w:p>
    <w:p w14:paraId="2D900F15" w14:textId="77777777" w:rsidR="00FD6D0F" w:rsidRPr="00DE54D2" w:rsidRDefault="00FD6D0F" w:rsidP="009A7F6A">
      <w:pPr>
        <w:autoSpaceDE w:val="0"/>
        <w:autoSpaceDN w:val="0"/>
        <w:adjustRightInd w:val="0"/>
        <w:jc w:val="both"/>
        <w:rPr>
          <w:rFonts w:ascii="Tunga" w:hAnsi="Tunga" w:cs="Tunga"/>
          <w:b/>
          <w:bCs/>
          <w:sz w:val="28"/>
          <w:szCs w:val="28"/>
          <w:lang w:eastAsia="en-AU"/>
        </w:rPr>
      </w:pPr>
      <w:r w:rsidRPr="00DE54D2">
        <w:rPr>
          <w:rFonts w:ascii="Tunga" w:hAnsi="Tunga" w:cs="Tunga"/>
          <w:b/>
          <w:bCs/>
          <w:sz w:val="28"/>
          <w:szCs w:val="28"/>
          <w:lang w:eastAsia="en-AU"/>
        </w:rPr>
        <w:t>Listeriosis</w:t>
      </w:r>
    </w:p>
    <w:p w14:paraId="0A9F5C4B" w14:textId="77777777" w:rsidR="00FD6D0F"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Cs/>
          <w:sz w:val="28"/>
          <w:szCs w:val="28"/>
          <w:lang w:eastAsia="en-AU"/>
        </w:rPr>
        <w:t>Listeriosis is caused by bacteria (</w:t>
      </w:r>
      <w:r w:rsidRPr="00DE54D2">
        <w:rPr>
          <w:rFonts w:ascii="Tunga" w:hAnsi="Tunga" w:cs="Tunga"/>
          <w:bCs/>
          <w:i/>
          <w:iCs/>
          <w:sz w:val="28"/>
          <w:szCs w:val="28"/>
          <w:lang w:eastAsia="en-AU"/>
        </w:rPr>
        <w:t>Listeria monocytogenes</w:t>
      </w:r>
      <w:r w:rsidRPr="00DE54D2">
        <w:rPr>
          <w:rFonts w:ascii="Tunga" w:hAnsi="Tunga" w:cs="Tunga"/>
          <w:bCs/>
          <w:sz w:val="28"/>
          <w:szCs w:val="28"/>
          <w:lang w:eastAsia="en-AU"/>
        </w:rPr>
        <w:t>) and can be spread through foods such as soft</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cheeses and pre-cooked meat products (e.g. pâté and deli meats), along with many other types of food.</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It can cause a range of symptoms; if a pregnant woman is infected, it can cause miscarriage, stillbirth or</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premature birth. Infants born to infected mothers can also suffer a range of complications. Pregnant women</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 xml:space="preserve">can reduce their risk of exposure to </w:t>
      </w:r>
      <w:r w:rsidRPr="00DE54D2">
        <w:rPr>
          <w:rFonts w:ascii="Tunga" w:hAnsi="Tunga" w:cs="Tunga"/>
          <w:bCs/>
          <w:i/>
          <w:iCs/>
          <w:sz w:val="28"/>
          <w:szCs w:val="28"/>
          <w:lang w:eastAsia="en-AU"/>
        </w:rPr>
        <w:t xml:space="preserve">Listeria </w:t>
      </w:r>
      <w:r w:rsidRPr="00DE54D2">
        <w:rPr>
          <w:rFonts w:ascii="Tunga" w:hAnsi="Tunga" w:cs="Tunga"/>
          <w:bCs/>
          <w:sz w:val="28"/>
          <w:szCs w:val="28"/>
          <w:lang w:eastAsia="en-AU"/>
        </w:rPr>
        <w:t xml:space="preserve">by avoiding raw or partially cooked </w:t>
      </w:r>
      <w:proofErr w:type="gramStart"/>
      <w:r w:rsidRPr="00DE54D2">
        <w:rPr>
          <w:rFonts w:ascii="Tunga" w:hAnsi="Tunga" w:cs="Tunga"/>
          <w:bCs/>
          <w:sz w:val="28"/>
          <w:szCs w:val="28"/>
          <w:lang w:eastAsia="en-AU"/>
        </w:rPr>
        <w:t>foods, and</w:t>
      </w:r>
      <w:proofErr w:type="gramEnd"/>
      <w:r w:rsidRPr="00DE54D2">
        <w:rPr>
          <w:rFonts w:ascii="Tunga" w:hAnsi="Tunga" w:cs="Tunga"/>
          <w:bCs/>
          <w:sz w:val="28"/>
          <w:szCs w:val="28"/>
          <w:lang w:eastAsia="en-AU"/>
        </w:rPr>
        <w:t xml:space="preserve"> ensuring that raw</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fruit and vegetables have been washed in clean water.</w:t>
      </w:r>
    </w:p>
    <w:p w14:paraId="1EA45D8C" w14:textId="77777777" w:rsidR="00FD6D0F" w:rsidRPr="00DE54D2" w:rsidRDefault="00FD6D0F" w:rsidP="009A7F6A">
      <w:pPr>
        <w:autoSpaceDE w:val="0"/>
        <w:autoSpaceDN w:val="0"/>
        <w:adjustRightInd w:val="0"/>
        <w:jc w:val="both"/>
        <w:rPr>
          <w:rFonts w:ascii="Tunga" w:hAnsi="Tunga" w:cs="Tunga"/>
          <w:b/>
          <w:bCs/>
          <w:sz w:val="28"/>
          <w:szCs w:val="28"/>
          <w:lang w:eastAsia="en-AU"/>
        </w:rPr>
      </w:pPr>
      <w:r w:rsidRPr="00DE54D2">
        <w:rPr>
          <w:rFonts w:ascii="Tunga" w:hAnsi="Tunga" w:cs="Tunga"/>
          <w:b/>
          <w:bCs/>
          <w:sz w:val="28"/>
          <w:szCs w:val="28"/>
          <w:lang w:eastAsia="en-AU"/>
        </w:rPr>
        <w:t>Rubella (German measles)</w:t>
      </w:r>
    </w:p>
    <w:p w14:paraId="22A59575" w14:textId="77777777" w:rsidR="00FD6D0F"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Cs/>
          <w:sz w:val="28"/>
          <w:szCs w:val="28"/>
          <w:lang w:eastAsia="en-AU"/>
        </w:rPr>
        <w:t>Rubella is a vaccine-preventable disease that usually causes mild illness in children. However, if expectant</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mothers are infected during the first 20 weeks of pregnancy, their infants may have severe birth defects.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This risk is highest in early pregnancy. If non-immune mothers catch rubella in the first 10 weeks of</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pregnancy, their baby will have up to a 90% chance of having rubella-associated problems. Defects are</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rare if the mother is infected with rubella after the first 20 weeks of pregnancy.</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 xml:space="preserve">Anyone who works with children should be immunised against </w:t>
      </w:r>
      <w:proofErr w:type="gramStart"/>
      <w:r w:rsidRPr="00DE54D2">
        <w:rPr>
          <w:rFonts w:ascii="Tunga" w:hAnsi="Tunga" w:cs="Tunga"/>
          <w:bCs/>
          <w:sz w:val="28"/>
          <w:szCs w:val="28"/>
          <w:lang w:eastAsia="en-AU"/>
        </w:rPr>
        <w:t>rubella, or</w:t>
      </w:r>
      <w:proofErr w:type="gramEnd"/>
      <w:r w:rsidRPr="00DE54D2">
        <w:rPr>
          <w:rFonts w:ascii="Tunga" w:hAnsi="Tunga" w:cs="Tunga"/>
          <w:bCs/>
          <w:sz w:val="28"/>
          <w:szCs w:val="28"/>
          <w:lang w:eastAsia="en-AU"/>
        </w:rPr>
        <w:t xml:space="preserve"> be certain that they are immune</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to rubella by having a blood test.</w:t>
      </w:r>
    </w:p>
    <w:p w14:paraId="45637BED" w14:textId="77777777" w:rsidR="00FD6D0F" w:rsidRPr="00DE54D2" w:rsidRDefault="00FD6D0F" w:rsidP="009A7F6A">
      <w:pPr>
        <w:autoSpaceDE w:val="0"/>
        <w:autoSpaceDN w:val="0"/>
        <w:adjustRightInd w:val="0"/>
        <w:jc w:val="both"/>
        <w:rPr>
          <w:rFonts w:ascii="Tunga" w:hAnsi="Tunga" w:cs="Tunga"/>
          <w:b/>
          <w:bCs/>
          <w:sz w:val="28"/>
          <w:szCs w:val="28"/>
          <w:lang w:eastAsia="en-AU"/>
        </w:rPr>
      </w:pPr>
      <w:r w:rsidRPr="00DE54D2">
        <w:rPr>
          <w:rFonts w:ascii="Tunga" w:hAnsi="Tunga" w:cs="Tunga"/>
          <w:b/>
          <w:bCs/>
          <w:sz w:val="28"/>
          <w:szCs w:val="28"/>
          <w:lang w:eastAsia="en-AU"/>
        </w:rPr>
        <w:t>Toxoplasmosis</w:t>
      </w:r>
    </w:p>
    <w:p w14:paraId="14960572" w14:textId="77777777" w:rsidR="009A7F6A"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Cs/>
          <w:sz w:val="28"/>
          <w:szCs w:val="28"/>
          <w:lang w:eastAsia="en-AU"/>
        </w:rPr>
        <w:t>Toxoplasmosis is a disease caused by a parasite. The disease can result in birth defects. If the mother</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becomes infected during pregnancy, the parasite can pass through the placenta to the developing baby.</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There is no risk to the baby if the mother has had the disease before pregnancy—a blood test will show</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if the mother is immune. If the mother is not immune, consider strategies to minimise the risk of infection,</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including regularly performing effective hand hygiene, washing and peeling fruit and vegetables before</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eating, and wearing gloves when gardening. Toxoplasmosis can be spread by mammals (especially cats)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and birds; non-immune mothers should avoid contact with cats whose feeding history is unknown, and</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they should not clean cats’ litter trays.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Educators and other staff have the same risk of contractin</w:t>
      </w:r>
      <w:r w:rsidR="009A7F6A" w:rsidRPr="00DE54D2">
        <w:rPr>
          <w:rFonts w:ascii="Tunga" w:hAnsi="Tunga" w:cs="Tunga"/>
          <w:bCs/>
          <w:sz w:val="28"/>
          <w:szCs w:val="28"/>
          <w:lang w:eastAsia="en-AU"/>
        </w:rPr>
        <w:t>g toxoplasmosis as other people</w:t>
      </w:r>
    </w:p>
    <w:p w14:paraId="5A5BB1CA" w14:textId="77777777" w:rsidR="00FD6D0F"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
          <w:bCs/>
          <w:sz w:val="28"/>
          <w:szCs w:val="28"/>
          <w:lang w:eastAsia="en-AU"/>
        </w:rPr>
        <w:t>Varicella (chickenpox)</w:t>
      </w:r>
    </w:p>
    <w:p w14:paraId="0AC08840" w14:textId="77777777" w:rsidR="00E622F0" w:rsidRPr="00DE54D2" w:rsidRDefault="00FD6D0F" w:rsidP="009A7F6A">
      <w:pPr>
        <w:autoSpaceDE w:val="0"/>
        <w:autoSpaceDN w:val="0"/>
        <w:adjustRightInd w:val="0"/>
        <w:jc w:val="both"/>
        <w:rPr>
          <w:rFonts w:ascii="Tunga" w:hAnsi="Tunga" w:cs="Tunga"/>
          <w:bCs/>
          <w:sz w:val="28"/>
          <w:szCs w:val="28"/>
          <w:lang w:eastAsia="en-AU"/>
        </w:rPr>
      </w:pPr>
      <w:r w:rsidRPr="00DE54D2">
        <w:rPr>
          <w:rFonts w:ascii="Tunga" w:hAnsi="Tunga" w:cs="Tunga"/>
          <w:bCs/>
          <w:sz w:val="28"/>
          <w:szCs w:val="28"/>
          <w:lang w:eastAsia="en-AU"/>
        </w:rPr>
        <w:t>Infection with varicella in the first 3 months of pregnancy may damage the unborn child. Pregnant women</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who are exposed to varicella at any stage of the pregnancy should seek medical advice within 48 hours.</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If the woman does not already have antibodies against the virus, the medical professional will give an</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injection of antibodies (known as varicella zoster immunoglobulin, or VZIG). Most people have had varicella</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as a child and will not get it again.</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Anyone who works with children and has not previously been infected with varicella should be immunised,</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or be certain that they are immune to varicella by having a blood test</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Varicella is a vaccine-preventable disease; however, varicella vaccination is not recommended during</w:t>
      </w:r>
      <w:r w:rsidR="009A7F6A" w:rsidRPr="00DE54D2">
        <w:rPr>
          <w:rFonts w:ascii="Tunga" w:hAnsi="Tunga" w:cs="Tunga"/>
          <w:bCs/>
          <w:sz w:val="28"/>
          <w:szCs w:val="28"/>
          <w:lang w:eastAsia="en-AU"/>
        </w:rPr>
        <w:t xml:space="preserve"> </w:t>
      </w:r>
      <w:r w:rsidRPr="00DE54D2">
        <w:rPr>
          <w:rFonts w:ascii="Tunga" w:hAnsi="Tunga" w:cs="Tunga"/>
          <w:bCs/>
          <w:sz w:val="28"/>
          <w:szCs w:val="28"/>
          <w:lang w:eastAsia="en-AU"/>
        </w:rPr>
        <w:t>pregnancy, and pregnancy should be avoided for 1 month after having a varicella vaccination.</w:t>
      </w:r>
    </w:p>
    <w:p w14:paraId="1737A804" w14:textId="77777777" w:rsidR="005C0530" w:rsidRPr="00DE54D2" w:rsidRDefault="005C0530" w:rsidP="005C0530">
      <w:pPr>
        <w:spacing w:after="0" w:line="240" w:lineRule="auto"/>
        <w:jc w:val="both"/>
        <w:rPr>
          <w:rFonts w:ascii="Tunga" w:eastAsia="MS Mincho" w:hAnsi="Tunga" w:cs="Tunga"/>
          <w:b/>
          <w:i/>
          <w:sz w:val="28"/>
          <w:szCs w:val="28"/>
        </w:rPr>
      </w:pPr>
      <w:r w:rsidRPr="00DE54D2">
        <w:rPr>
          <w:rFonts w:ascii="Tunga" w:eastAsia="MS Mincho" w:hAnsi="Tunga" w:cs="Tunga"/>
          <w:b/>
          <w:sz w:val="28"/>
          <w:szCs w:val="28"/>
          <w:lang w:val="en-US"/>
        </w:rPr>
        <w:t xml:space="preserve">Statutory </w:t>
      </w:r>
      <w:r w:rsidRPr="00DE54D2">
        <w:rPr>
          <w:rFonts w:ascii="Tunga" w:eastAsia="MS Mincho" w:hAnsi="Tunga" w:cs="Tunga"/>
          <w:b/>
          <w:sz w:val="28"/>
          <w:szCs w:val="28"/>
        </w:rPr>
        <w:t>Legislation &amp; Considerations</w:t>
      </w:r>
      <w:r w:rsidRPr="00DE54D2">
        <w:rPr>
          <w:rFonts w:ascii="Tunga" w:eastAsia="MS Mincho" w:hAnsi="Tunga" w:cs="Tunga"/>
          <w:b/>
          <w:i/>
          <w:sz w:val="28"/>
          <w:szCs w:val="28"/>
        </w:rPr>
        <w:t xml:space="preserve"> </w:t>
      </w:r>
    </w:p>
    <w:p w14:paraId="4D354DBC" w14:textId="77777777" w:rsidR="005C0530" w:rsidRPr="00DE54D2"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DE54D2">
        <w:rPr>
          <w:rFonts w:ascii="Tunga" w:eastAsia="Times New Roman" w:hAnsi="Tunga" w:cs="Tunga"/>
          <w:bCs/>
          <w:i/>
          <w:iCs/>
          <w:sz w:val="28"/>
          <w:szCs w:val="28"/>
          <w:lang w:val="en-US" w:eastAsia="en-AU"/>
        </w:rPr>
        <w:t>National Quality Standard for Early Childhood Ed</w:t>
      </w:r>
      <w:r w:rsidR="000F66BE" w:rsidRPr="00DE54D2">
        <w:rPr>
          <w:rFonts w:ascii="Tunga" w:eastAsia="Times New Roman" w:hAnsi="Tunga" w:cs="Tunga"/>
          <w:bCs/>
          <w:i/>
          <w:iCs/>
          <w:sz w:val="28"/>
          <w:szCs w:val="28"/>
          <w:lang w:val="en-US" w:eastAsia="en-AU"/>
        </w:rPr>
        <w:t xml:space="preserve">ucation and Care and School Age </w:t>
      </w:r>
      <w:proofErr w:type="gramStart"/>
      <w:r w:rsidRPr="00DE54D2">
        <w:rPr>
          <w:rFonts w:ascii="Tunga" w:eastAsia="Times New Roman" w:hAnsi="Tunga" w:cs="Tunga"/>
          <w:bCs/>
          <w:i/>
          <w:iCs/>
          <w:sz w:val="28"/>
          <w:szCs w:val="28"/>
          <w:lang w:val="en-US" w:eastAsia="en-AU"/>
        </w:rPr>
        <w:t>Care</w:t>
      </w:r>
      <w:r w:rsidRPr="00DE54D2">
        <w:rPr>
          <w:rFonts w:ascii="Tunga" w:eastAsia="Times New Roman" w:hAnsi="Tunga" w:cs="Tunga"/>
          <w:b/>
          <w:bCs/>
          <w:i/>
          <w:iCs/>
          <w:sz w:val="28"/>
          <w:szCs w:val="28"/>
          <w:lang w:val="en-US" w:eastAsia="en-AU"/>
        </w:rPr>
        <w:t xml:space="preserve"> ,</w:t>
      </w:r>
      <w:proofErr w:type="gramEnd"/>
      <w:r w:rsidRPr="00DE54D2">
        <w:rPr>
          <w:rFonts w:ascii="Tunga" w:eastAsia="Times New Roman" w:hAnsi="Tunga" w:cs="Tunga"/>
          <w:i/>
          <w:iCs/>
          <w:sz w:val="28"/>
          <w:szCs w:val="28"/>
          <w:lang w:val="en-US" w:eastAsia="en-AU"/>
        </w:rPr>
        <w:t xml:space="preserve"> Council of Australian G</w:t>
      </w:r>
      <w:r w:rsidR="006729D9" w:rsidRPr="00DE54D2">
        <w:rPr>
          <w:rFonts w:ascii="Tunga" w:eastAsia="Times New Roman" w:hAnsi="Tunga" w:cs="Tunga"/>
          <w:i/>
          <w:iCs/>
          <w:sz w:val="28"/>
          <w:szCs w:val="28"/>
          <w:lang w:val="en-US" w:eastAsia="en-AU"/>
        </w:rPr>
        <w:t xml:space="preserve">overnments </w:t>
      </w:r>
      <w:r w:rsidR="00CD6465" w:rsidRPr="00DE54D2">
        <w:rPr>
          <w:rFonts w:ascii="Tunga" w:eastAsia="Times New Roman" w:hAnsi="Tunga" w:cs="Tunga"/>
          <w:i/>
          <w:iCs/>
          <w:sz w:val="28"/>
          <w:szCs w:val="28"/>
          <w:lang w:val="en-US" w:eastAsia="en-AU"/>
        </w:rPr>
        <w:t>February 2018</w:t>
      </w:r>
    </w:p>
    <w:p w14:paraId="10F40C8D" w14:textId="79126646" w:rsidR="005C0530" w:rsidRPr="00DE54D2" w:rsidRDefault="005C0530" w:rsidP="009A7F6A">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DE54D2">
        <w:rPr>
          <w:rFonts w:ascii="Tunga" w:eastAsia="Times New Roman" w:hAnsi="Tunga" w:cs="Tunga"/>
          <w:i/>
          <w:sz w:val="28"/>
          <w:szCs w:val="28"/>
          <w:lang w:eastAsia="en-AU"/>
        </w:rPr>
        <w:t>Education and Care Servi</w:t>
      </w:r>
      <w:r w:rsidR="006729D9" w:rsidRPr="00DE54D2">
        <w:rPr>
          <w:rFonts w:ascii="Tunga" w:eastAsia="Times New Roman" w:hAnsi="Tunga" w:cs="Tunga"/>
          <w:i/>
          <w:sz w:val="28"/>
          <w:szCs w:val="28"/>
          <w:lang w:eastAsia="en-AU"/>
        </w:rPr>
        <w:t>ces National</w:t>
      </w:r>
      <w:r w:rsidR="002D219D" w:rsidRPr="00DE54D2">
        <w:rPr>
          <w:rFonts w:ascii="Tunga" w:eastAsia="Times New Roman" w:hAnsi="Tunga" w:cs="Tunga"/>
          <w:i/>
          <w:sz w:val="28"/>
          <w:szCs w:val="28"/>
          <w:lang w:eastAsia="en-AU"/>
        </w:rPr>
        <w:t xml:space="preserve"> Regulations </w:t>
      </w:r>
      <w:r w:rsidR="002D219D" w:rsidRPr="00B344C3">
        <w:rPr>
          <w:rFonts w:ascii="Tunga" w:eastAsia="Times New Roman" w:hAnsi="Tunga" w:cs="Tunga"/>
          <w:i/>
          <w:sz w:val="28"/>
          <w:szCs w:val="28"/>
          <w:lang w:eastAsia="en-AU"/>
        </w:rPr>
        <w:t>20</w:t>
      </w:r>
      <w:r w:rsidR="00FD2988" w:rsidRPr="00B344C3">
        <w:rPr>
          <w:rFonts w:ascii="Tunga" w:eastAsia="Times New Roman" w:hAnsi="Tunga" w:cs="Tunga"/>
          <w:i/>
          <w:sz w:val="28"/>
          <w:szCs w:val="28"/>
          <w:lang w:eastAsia="en-AU"/>
        </w:rPr>
        <w:t>23</w:t>
      </w:r>
      <w:r w:rsidR="007E55E5" w:rsidRPr="00B344C3">
        <w:rPr>
          <w:rFonts w:ascii="Tunga" w:eastAsia="Times New Roman" w:hAnsi="Tunga" w:cs="Tunga"/>
          <w:i/>
          <w:sz w:val="28"/>
          <w:szCs w:val="28"/>
          <w:lang w:eastAsia="en-AU"/>
        </w:rPr>
        <w:t>,</w:t>
      </w:r>
      <w:r w:rsidR="007E55E5" w:rsidRPr="00DE54D2">
        <w:rPr>
          <w:rFonts w:ascii="Tunga" w:eastAsia="Times New Roman" w:hAnsi="Tunga" w:cs="Tunga"/>
          <w:i/>
          <w:sz w:val="28"/>
          <w:szCs w:val="28"/>
          <w:lang w:eastAsia="en-AU"/>
        </w:rPr>
        <w:t xml:space="preserve"> Regulations </w:t>
      </w:r>
      <w:r w:rsidR="00700703" w:rsidRPr="00DE54D2">
        <w:rPr>
          <w:rFonts w:ascii="Tunga" w:eastAsia="Times New Roman" w:hAnsi="Tunga" w:cs="Tunga"/>
          <w:i/>
          <w:sz w:val="28"/>
          <w:szCs w:val="28"/>
          <w:lang w:eastAsia="en-AU"/>
        </w:rPr>
        <w:t xml:space="preserve">78-80, </w:t>
      </w:r>
      <w:r w:rsidR="007E55E5" w:rsidRPr="00DE54D2">
        <w:rPr>
          <w:rFonts w:ascii="Tunga" w:eastAsia="Times New Roman" w:hAnsi="Tunga" w:cs="Tunga"/>
          <w:i/>
          <w:sz w:val="28"/>
          <w:szCs w:val="28"/>
          <w:lang w:eastAsia="en-AU"/>
        </w:rPr>
        <w:t>85, 168(2)(b)</w:t>
      </w:r>
    </w:p>
    <w:p w14:paraId="7D923C3C" w14:textId="77777777" w:rsidR="0043650F" w:rsidRPr="00DE54D2" w:rsidRDefault="0043650F" w:rsidP="009A7F6A">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DE54D2">
        <w:rPr>
          <w:rFonts w:ascii="Tunga" w:eastAsia="Times New Roman" w:hAnsi="Tunga" w:cs="Tunga"/>
          <w:i/>
          <w:sz w:val="28"/>
          <w:szCs w:val="28"/>
          <w:lang w:eastAsia="en-AU"/>
        </w:rPr>
        <w:t>Public Health Act, 1991</w:t>
      </w:r>
    </w:p>
    <w:p w14:paraId="6E1DC0C8" w14:textId="77777777" w:rsidR="0043650F" w:rsidRPr="00DE54D2" w:rsidRDefault="0043650F" w:rsidP="0043650F">
      <w:pPr>
        <w:autoSpaceDE w:val="0"/>
        <w:autoSpaceDN w:val="0"/>
        <w:adjustRightInd w:val="0"/>
        <w:spacing w:after="0" w:line="240" w:lineRule="auto"/>
        <w:ind w:left="720"/>
        <w:rPr>
          <w:rFonts w:ascii="Tunga" w:eastAsia="Times New Roman" w:hAnsi="Tunga" w:cs="Tunga"/>
          <w:b/>
          <w:i/>
          <w:sz w:val="28"/>
          <w:szCs w:val="28"/>
          <w:u w:val="single"/>
          <w:lang w:val="en-US"/>
        </w:rPr>
      </w:pPr>
    </w:p>
    <w:p w14:paraId="0679A395" w14:textId="77777777" w:rsidR="000F66BE" w:rsidRPr="00DE54D2"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DE54D2">
        <w:rPr>
          <w:rFonts w:ascii="Tunga" w:eastAsia="Times New Roman" w:hAnsi="Tunga" w:cs="Tunga"/>
          <w:b/>
          <w:bCs/>
          <w:sz w:val="28"/>
          <w:szCs w:val="28"/>
          <w:lang w:eastAsia="en-AU"/>
        </w:rPr>
        <w:t>Sources</w:t>
      </w:r>
    </w:p>
    <w:p w14:paraId="03854667" w14:textId="77777777" w:rsidR="0061773B" w:rsidRPr="00DE54D2" w:rsidRDefault="0061773B" w:rsidP="0061773B">
      <w:pPr>
        <w:numPr>
          <w:ilvl w:val="0"/>
          <w:numId w:val="2"/>
        </w:numPr>
        <w:autoSpaceDE w:val="0"/>
        <w:autoSpaceDN w:val="0"/>
        <w:adjustRightInd w:val="0"/>
        <w:spacing w:after="0" w:line="240" w:lineRule="auto"/>
        <w:rPr>
          <w:rFonts w:ascii="Tunga" w:eastAsia="SymbolMT" w:hAnsi="Tunga" w:cs="Tunga"/>
          <w:sz w:val="28"/>
          <w:szCs w:val="28"/>
          <w:lang w:eastAsia="en-AU"/>
        </w:rPr>
      </w:pPr>
      <w:r w:rsidRPr="00DE54D2">
        <w:rPr>
          <w:rFonts w:ascii="Tunga" w:eastAsia="SymbolMT" w:hAnsi="Tunga" w:cs="Tunga"/>
          <w:sz w:val="28"/>
          <w:szCs w:val="28"/>
          <w:lang w:eastAsia="en-AU"/>
        </w:rPr>
        <w:t xml:space="preserve">NSW Department of Health - </w:t>
      </w:r>
      <w:hyperlink r:id="rId9" w:history="1">
        <w:r w:rsidRPr="00DE54D2">
          <w:rPr>
            <w:rStyle w:val="Hyperlink"/>
            <w:rFonts w:ascii="Tunga" w:eastAsia="SymbolMT" w:hAnsi="Tunga" w:cs="Tunga"/>
            <w:sz w:val="28"/>
            <w:szCs w:val="28"/>
            <w:lang w:eastAsia="en-AU"/>
          </w:rPr>
          <w:t>www.health.nsw.gov.au</w:t>
        </w:r>
      </w:hyperlink>
    </w:p>
    <w:p w14:paraId="40BB5577" w14:textId="77777777" w:rsidR="00091A24" w:rsidRPr="0052656B" w:rsidRDefault="00091A24" w:rsidP="00091A24">
      <w:pPr>
        <w:numPr>
          <w:ilvl w:val="0"/>
          <w:numId w:val="2"/>
        </w:numPr>
        <w:ind w:left="630"/>
        <w:rPr>
          <w:rFonts w:ascii="Tunga" w:eastAsia="SymbolMT" w:hAnsi="Tunga" w:cs="Tunga"/>
          <w:sz w:val="28"/>
          <w:szCs w:val="28"/>
          <w:highlight w:val="yellow"/>
          <w:lang w:eastAsia="en-AU"/>
        </w:rPr>
      </w:pPr>
      <w:r w:rsidRPr="0034619C">
        <w:rPr>
          <w:rFonts w:ascii="Tunga" w:eastAsia="SymbolMT" w:hAnsi="Tunga" w:cs="Tunga"/>
          <w:sz w:val="28"/>
          <w:szCs w:val="28"/>
          <w:lang w:eastAsia="en-AU"/>
        </w:rPr>
        <w:t xml:space="preserve">Staying Healthy—Preventing infectious diseases in early childhood education and care services) </w:t>
      </w:r>
      <w:r w:rsidRPr="00B344C3">
        <w:rPr>
          <w:rFonts w:ascii="Tunga" w:eastAsia="SymbolMT" w:hAnsi="Tunga" w:cs="Tunga"/>
          <w:sz w:val="28"/>
          <w:szCs w:val="28"/>
          <w:lang w:eastAsia="en-AU"/>
        </w:rPr>
        <w:t xml:space="preserve">NHMRC, 6th Edition 2012  </w:t>
      </w:r>
      <w:hyperlink r:id="rId10" w:history="1">
        <w:r w:rsidRPr="00B344C3">
          <w:rPr>
            <w:rStyle w:val="Hyperlink"/>
            <w:rFonts w:ascii="Tunga" w:eastAsia="SymbolMT" w:hAnsi="Tunga" w:cs="Tunga"/>
            <w:sz w:val="28"/>
            <w:szCs w:val="28"/>
            <w:lang w:eastAsia="en-AU"/>
          </w:rPr>
          <w:t>http://www.health.gov.au/nhmrc/</w:t>
        </w:r>
      </w:hyperlink>
      <w:r w:rsidRPr="00B344C3">
        <w:t xml:space="preserve"> </w:t>
      </w:r>
      <w:hyperlink r:id="rId11" w:history="1">
        <w:r w:rsidRPr="00B344C3">
          <w:rPr>
            <w:color w:val="0000FF"/>
            <w:u w:val="single"/>
          </w:rPr>
          <w:t>Staying healthy: Preventing infectious diseases in early childhood education and care services - 6th Edition (nhmrc.gov.au)</w:t>
        </w:r>
      </w:hyperlink>
    </w:p>
    <w:p w14:paraId="70A68EA5" w14:textId="77777777" w:rsidR="00091A24" w:rsidRPr="00091A24" w:rsidRDefault="00091A24" w:rsidP="00B32ECB">
      <w:pPr>
        <w:autoSpaceDE w:val="0"/>
        <w:autoSpaceDN w:val="0"/>
        <w:adjustRightInd w:val="0"/>
        <w:spacing w:after="0" w:line="240" w:lineRule="auto"/>
        <w:ind w:left="720"/>
        <w:rPr>
          <w:rFonts w:ascii="Tunga" w:eastAsia="SymbolMT" w:hAnsi="Tunga" w:cs="Tunga"/>
          <w:sz w:val="28"/>
          <w:szCs w:val="28"/>
          <w:highlight w:val="yellow"/>
          <w:lang w:eastAsia="en-AU"/>
        </w:rPr>
      </w:pPr>
    </w:p>
    <w:p w14:paraId="01EB2835" w14:textId="77777777" w:rsidR="00BE2C80" w:rsidRDefault="00BE2C80" w:rsidP="00BE2C80">
      <w:pPr>
        <w:autoSpaceDE w:val="0"/>
        <w:autoSpaceDN w:val="0"/>
        <w:adjustRightInd w:val="0"/>
        <w:spacing w:after="0" w:line="240" w:lineRule="auto"/>
        <w:ind w:left="720"/>
        <w:rPr>
          <w:rFonts w:ascii="ArialMT" w:hAnsi="ArialMT" w:cs="ArialMT"/>
          <w:color w:val="000000"/>
        </w:rPr>
      </w:pPr>
    </w:p>
    <w:p w14:paraId="357221B7" w14:textId="77777777" w:rsidR="000F66BE" w:rsidRPr="005C0530" w:rsidRDefault="000F66BE" w:rsidP="00BE2C80">
      <w:pPr>
        <w:autoSpaceDE w:val="0"/>
        <w:autoSpaceDN w:val="0"/>
        <w:adjustRightInd w:val="0"/>
        <w:spacing w:after="0" w:line="240" w:lineRule="auto"/>
        <w:ind w:left="720"/>
        <w:rPr>
          <w:rFonts w:ascii="Tunga" w:eastAsia="Times New Roman" w:hAnsi="Tunga" w:cs="Tunga"/>
          <w:bCs/>
          <w:color w:val="482987"/>
          <w:sz w:val="28"/>
          <w:szCs w:val="28"/>
          <w:lang w:eastAsia="en-AU"/>
        </w:rPr>
      </w:pPr>
    </w:p>
    <w:p w14:paraId="7684469E" w14:textId="77777777" w:rsidR="005C0530" w:rsidRPr="005C0530" w:rsidRDefault="005C0530" w:rsidP="005C0530">
      <w:pPr>
        <w:autoSpaceDE w:val="0"/>
        <w:autoSpaceDN w:val="0"/>
        <w:adjustRightInd w:val="0"/>
        <w:spacing w:after="0" w:line="240" w:lineRule="auto"/>
        <w:jc w:val="center"/>
        <w:rPr>
          <w:rFonts w:ascii="Tunga" w:eastAsia="Times New Roman" w:hAnsi="Tunga" w:cs="Tunga"/>
          <w:b/>
          <w:sz w:val="28"/>
          <w:szCs w:val="28"/>
          <w:u w:val="single"/>
          <w:lang w:val="en-US"/>
        </w:rPr>
      </w:pPr>
    </w:p>
    <w:p w14:paraId="4B9603C6" w14:textId="77777777" w:rsidR="005C0530" w:rsidRPr="005C0530" w:rsidRDefault="005C0530" w:rsidP="005C0530">
      <w:pPr>
        <w:autoSpaceDE w:val="0"/>
        <w:autoSpaceDN w:val="0"/>
        <w:adjustRightInd w:val="0"/>
        <w:spacing w:after="0" w:line="240" w:lineRule="auto"/>
        <w:rPr>
          <w:rFonts w:ascii="Tunga" w:eastAsia="Times New Roman" w:hAnsi="Tunga" w:cs="Tunga"/>
          <w:bCs/>
          <w:sz w:val="28"/>
          <w:szCs w:val="28"/>
          <w:lang w:eastAsia="en-AU"/>
        </w:rPr>
      </w:pPr>
    </w:p>
    <w:p w14:paraId="551B9DD1" w14:textId="77777777" w:rsidR="005C0530" w:rsidRDefault="005C0530" w:rsidP="005C0530">
      <w:pPr>
        <w:autoSpaceDE w:val="0"/>
        <w:autoSpaceDN w:val="0"/>
        <w:adjustRightInd w:val="0"/>
        <w:rPr>
          <w:rFonts w:ascii="Tunga" w:eastAsia="MS Mincho" w:hAnsi="Tunga" w:cs="Tunga"/>
          <w:sz w:val="28"/>
          <w:szCs w:val="28"/>
        </w:rPr>
      </w:pPr>
    </w:p>
    <w:sectPr w:rsidR="005C053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FAD13" w14:textId="77777777" w:rsidR="00D964F4" w:rsidRDefault="00D964F4" w:rsidP="002D4180">
      <w:pPr>
        <w:spacing w:after="0" w:line="240" w:lineRule="auto"/>
      </w:pPr>
      <w:r>
        <w:separator/>
      </w:r>
    </w:p>
  </w:endnote>
  <w:endnote w:type="continuationSeparator" w:id="0">
    <w:p w14:paraId="30BFEBE5" w14:textId="77777777" w:rsidR="00D964F4" w:rsidRDefault="00D964F4"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mbolMT">
    <w:altName w:val="Arial Unicode MS"/>
    <w:panose1 w:val="00000000000000000000"/>
    <w:charset w:val="00"/>
    <w:family w:val="auto"/>
    <w:notTrueType/>
    <w:pitch w:val="default"/>
    <w:sig w:usb0="00000000" w:usb1="08080000" w:usb2="00000010" w:usb3="00000000" w:csb0="001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8694" w14:textId="77777777" w:rsidR="002D4180" w:rsidRDefault="002D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E8FD4" w14:textId="77777777" w:rsidR="002D4180" w:rsidRDefault="002D4180">
    <w:pPr>
      <w:pStyle w:val="Footer"/>
    </w:pPr>
    <w:r>
      <w:t xml:space="preserve">Page | </w:t>
    </w:r>
    <w:r>
      <w:fldChar w:fldCharType="begin"/>
    </w:r>
    <w:r>
      <w:instrText xml:space="preserve"> PAGE   \* MERGEFORMAT </w:instrText>
    </w:r>
    <w:r>
      <w:fldChar w:fldCharType="separate"/>
    </w:r>
    <w:r w:rsidR="0043650F">
      <w:rPr>
        <w:noProof/>
      </w:rPr>
      <w:t>6</w:t>
    </w:r>
    <w:r>
      <w:rPr>
        <w:noProof/>
      </w:rPr>
      <w:fldChar w:fldCharType="end"/>
    </w:r>
  </w:p>
  <w:p w14:paraId="032078FC" w14:textId="77777777" w:rsidR="002D4180" w:rsidRDefault="002D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5A95B"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E8704" w14:textId="77777777" w:rsidR="00D964F4" w:rsidRDefault="00D964F4" w:rsidP="002D4180">
      <w:pPr>
        <w:spacing w:after="0" w:line="240" w:lineRule="auto"/>
      </w:pPr>
      <w:r>
        <w:separator/>
      </w:r>
    </w:p>
  </w:footnote>
  <w:footnote w:type="continuationSeparator" w:id="0">
    <w:p w14:paraId="60197DD7" w14:textId="77777777" w:rsidR="00D964F4" w:rsidRDefault="00D964F4" w:rsidP="002D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1716A" w14:textId="77777777" w:rsidR="002D4180" w:rsidRDefault="002D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7481" w14:textId="77777777" w:rsidR="002D4180" w:rsidRDefault="002D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96D1F" w14:textId="77777777" w:rsidR="002D4180" w:rsidRDefault="002D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3977AA"/>
    <w:multiLevelType w:val="hybridMultilevel"/>
    <w:tmpl w:val="F91E92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0566942"/>
    <w:multiLevelType w:val="hybridMultilevel"/>
    <w:tmpl w:val="A75E2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FE0051"/>
    <w:multiLevelType w:val="hybridMultilevel"/>
    <w:tmpl w:val="A7E2F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34064A"/>
    <w:multiLevelType w:val="hybridMultilevel"/>
    <w:tmpl w:val="F3628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2F2EBE"/>
    <w:multiLevelType w:val="hybridMultilevel"/>
    <w:tmpl w:val="FC62F7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8F0FEC"/>
    <w:multiLevelType w:val="hybridMultilevel"/>
    <w:tmpl w:val="03D8B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CB1B6C"/>
    <w:multiLevelType w:val="hybridMultilevel"/>
    <w:tmpl w:val="5F141E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E1F67FC"/>
    <w:multiLevelType w:val="hybridMultilevel"/>
    <w:tmpl w:val="0F5452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3F7A6B23"/>
    <w:multiLevelType w:val="hybridMultilevel"/>
    <w:tmpl w:val="BAB68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382A39"/>
    <w:multiLevelType w:val="hybridMultilevel"/>
    <w:tmpl w:val="E8D6E6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4F343DD5"/>
    <w:multiLevelType w:val="hybridMultilevel"/>
    <w:tmpl w:val="9A6494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CE4B4C"/>
    <w:multiLevelType w:val="hybridMultilevel"/>
    <w:tmpl w:val="C054F5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5D47B07"/>
    <w:multiLevelType w:val="hybridMultilevel"/>
    <w:tmpl w:val="1C0C5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59675E"/>
    <w:multiLevelType w:val="hybridMultilevel"/>
    <w:tmpl w:val="AF04B0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59695569"/>
    <w:multiLevelType w:val="hybridMultilevel"/>
    <w:tmpl w:val="E200AC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1B81AC6"/>
    <w:multiLevelType w:val="hybridMultilevel"/>
    <w:tmpl w:val="C96EF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3D7DF5"/>
    <w:multiLevelType w:val="hybridMultilevel"/>
    <w:tmpl w:val="C5CA88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23" w15:restartNumberingAfterBreak="0">
    <w:nsid w:val="6D397A4E"/>
    <w:multiLevelType w:val="hybridMultilevel"/>
    <w:tmpl w:val="B7F6EC6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16cid:durableId="317078049">
    <w:abstractNumId w:val="22"/>
  </w:num>
  <w:num w:numId="2" w16cid:durableId="701369117">
    <w:abstractNumId w:val="7"/>
  </w:num>
  <w:num w:numId="3" w16cid:durableId="103696854">
    <w:abstractNumId w:val="24"/>
  </w:num>
  <w:num w:numId="4" w16cid:durableId="931862141">
    <w:abstractNumId w:val="0"/>
  </w:num>
  <w:num w:numId="5" w16cid:durableId="1953825437">
    <w:abstractNumId w:val="3"/>
  </w:num>
  <w:num w:numId="6" w16cid:durableId="695039712">
    <w:abstractNumId w:val="15"/>
  </w:num>
  <w:num w:numId="7" w16cid:durableId="759908220">
    <w:abstractNumId w:val="5"/>
  </w:num>
  <w:num w:numId="8" w16cid:durableId="1377195720">
    <w:abstractNumId w:val="20"/>
  </w:num>
  <w:num w:numId="9" w16cid:durableId="1964773849">
    <w:abstractNumId w:val="17"/>
  </w:num>
  <w:num w:numId="10" w16cid:durableId="1420524181">
    <w:abstractNumId w:val="11"/>
  </w:num>
  <w:num w:numId="11" w16cid:durableId="1342195939">
    <w:abstractNumId w:val="19"/>
  </w:num>
  <w:num w:numId="12" w16cid:durableId="540362085">
    <w:abstractNumId w:val="16"/>
  </w:num>
  <w:num w:numId="13" w16cid:durableId="2107917886">
    <w:abstractNumId w:val="1"/>
  </w:num>
  <w:num w:numId="14" w16cid:durableId="1473711383">
    <w:abstractNumId w:val="6"/>
  </w:num>
  <w:num w:numId="15" w16cid:durableId="1806655021">
    <w:abstractNumId w:val="14"/>
  </w:num>
  <w:num w:numId="16" w16cid:durableId="1556162739">
    <w:abstractNumId w:val="2"/>
  </w:num>
  <w:num w:numId="17" w16cid:durableId="1834375395">
    <w:abstractNumId w:val="18"/>
  </w:num>
  <w:num w:numId="18" w16cid:durableId="1181092487">
    <w:abstractNumId w:val="21"/>
  </w:num>
  <w:num w:numId="19" w16cid:durableId="2080051170">
    <w:abstractNumId w:val="13"/>
  </w:num>
  <w:num w:numId="20" w16cid:durableId="1836800746">
    <w:abstractNumId w:val="9"/>
  </w:num>
  <w:num w:numId="21" w16cid:durableId="186794984">
    <w:abstractNumId w:val="10"/>
  </w:num>
  <w:num w:numId="22" w16cid:durableId="1625041682">
    <w:abstractNumId w:val="12"/>
  </w:num>
  <w:num w:numId="23" w16cid:durableId="148178757">
    <w:abstractNumId w:val="4"/>
  </w:num>
  <w:num w:numId="24" w16cid:durableId="1941374477">
    <w:abstractNumId w:val="8"/>
  </w:num>
  <w:num w:numId="25" w16cid:durableId="7461956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FB9"/>
    <w:rsid w:val="000523C0"/>
    <w:rsid w:val="000847F6"/>
    <w:rsid w:val="00085AE0"/>
    <w:rsid w:val="00091A24"/>
    <w:rsid w:val="000D6C26"/>
    <w:rsid w:val="000E7083"/>
    <w:rsid w:val="000F66BE"/>
    <w:rsid w:val="0018351B"/>
    <w:rsid w:val="0021178E"/>
    <w:rsid w:val="00234219"/>
    <w:rsid w:val="00257757"/>
    <w:rsid w:val="002D219D"/>
    <w:rsid w:val="002D4180"/>
    <w:rsid w:val="003006FE"/>
    <w:rsid w:val="00360227"/>
    <w:rsid w:val="0037695A"/>
    <w:rsid w:val="00381924"/>
    <w:rsid w:val="00386386"/>
    <w:rsid w:val="003938F3"/>
    <w:rsid w:val="003D0DA8"/>
    <w:rsid w:val="003E1A08"/>
    <w:rsid w:val="00414E53"/>
    <w:rsid w:val="00426EE4"/>
    <w:rsid w:val="004359C0"/>
    <w:rsid w:val="0043650F"/>
    <w:rsid w:val="00482D3F"/>
    <w:rsid w:val="004A65E5"/>
    <w:rsid w:val="004A737D"/>
    <w:rsid w:val="004B1EF7"/>
    <w:rsid w:val="00507D9F"/>
    <w:rsid w:val="005236C4"/>
    <w:rsid w:val="005740C3"/>
    <w:rsid w:val="0058253B"/>
    <w:rsid w:val="005C0469"/>
    <w:rsid w:val="005C0530"/>
    <w:rsid w:val="005E79A1"/>
    <w:rsid w:val="0061773B"/>
    <w:rsid w:val="00643EDC"/>
    <w:rsid w:val="0064661A"/>
    <w:rsid w:val="006729D9"/>
    <w:rsid w:val="00682C1B"/>
    <w:rsid w:val="006B54B2"/>
    <w:rsid w:val="006E2FEB"/>
    <w:rsid w:val="00700703"/>
    <w:rsid w:val="007239B5"/>
    <w:rsid w:val="00733A81"/>
    <w:rsid w:val="00734C76"/>
    <w:rsid w:val="00766B06"/>
    <w:rsid w:val="007A391B"/>
    <w:rsid w:val="007C5DD5"/>
    <w:rsid w:val="007D3216"/>
    <w:rsid w:val="007D3588"/>
    <w:rsid w:val="007E1620"/>
    <w:rsid w:val="007E4217"/>
    <w:rsid w:val="007E55E5"/>
    <w:rsid w:val="007E71AF"/>
    <w:rsid w:val="00812B5C"/>
    <w:rsid w:val="008266AF"/>
    <w:rsid w:val="00830F9E"/>
    <w:rsid w:val="00860CEF"/>
    <w:rsid w:val="008A551C"/>
    <w:rsid w:val="008C55CB"/>
    <w:rsid w:val="008D6B1E"/>
    <w:rsid w:val="00905704"/>
    <w:rsid w:val="00934F16"/>
    <w:rsid w:val="009640D3"/>
    <w:rsid w:val="00966F8D"/>
    <w:rsid w:val="00990307"/>
    <w:rsid w:val="009A7F6A"/>
    <w:rsid w:val="009E1111"/>
    <w:rsid w:val="009F0E40"/>
    <w:rsid w:val="00AE4594"/>
    <w:rsid w:val="00AE7EF9"/>
    <w:rsid w:val="00B04385"/>
    <w:rsid w:val="00B237FA"/>
    <w:rsid w:val="00B32ECB"/>
    <w:rsid w:val="00B344C3"/>
    <w:rsid w:val="00B376A5"/>
    <w:rsid w:val="00BE2C80"/>
    <w:rsid w:val="00BE2FB9"/>
    <w:rsid w:val="00C07225"/>
    <w:rsid w:val="00C12A34"/>
    <w:rsid w:val="00C24319"/>
    <w:rsid w:val="00C61080"/>
    <w:rsid w:val="00C74599"/>
    <w:rsid w:val="00CC0CE9"/>
    <w:rsid w:val="00CD1217"/>
    <w:rsid w:val="00CD6465"/>
    <w:rsid w:val="00CE13EC"/>
    <w:rsid w:val="00D15D01"/>
    <w:rsid w:val="00D440B8"/>
    <w:rsid w:val="00D53ABF"/>
    <w:rsid w:val="00D54691"/>
    <w:rsid w:val="00D925B0"/>
    <w:rsid w:val="00D964F4"/>
    <w:rsid w:val="00DB4281"/>
    <w:rsid w:val="00DB7EC2"/>
    <w:rsid w:val="00DE54D2"/>
    <w:rsid w:val="00E21F8E"/>
    <w:rsid w:val="00E622F0"/>
    <w:rsid w:val="00E96C76"/>
    <w:rsid w:val="00EB6377"/>
    <w:rsid w:val="00EF65C3"/>
    <w:rsid w:val="00F01C06"/>
    <w:rsid w:val="00F21D7C"/>
    <w:rsid w:val="00F27CA8"/>
    <w:rsid w:val="00F43AC3"/>
    <w:rsid w:val="00F52D27"/>
    <w:rsid w:val="00FC60B7"/>
    <w:rsid w:val="00FD2988"/>
    <w:rsid w:val="00FD6D0F"/>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355EC"/>
  <w15:chartTrackingRefBased/>
  <w15:docId w15:val="{9C5AF75B-B4C6-4186-AFD0-0E15FAD59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830F9E"/>
    <w:rPr>
      <w:color w:val="800080"/>
      <w:u w:val="single"/>
    </w:rPr>
  </w:style>
  <w:style w:type="paragraph" w:styleId="NormalWeb">
    <w:name w:val="Normal (Web)"/>
    <w:basedOn w:val="Normal"/>
    <w:uiPriority w:val="99"/>
    <w:semiHidden/>
    <w:unhideWhenUsed/>
    <w:rsid w:val="00E622F0"/>
    <w:pPr>
      <w:spacing w:before="100" w:beforeAutospacing="1" w:after="100" w:afterAutospacing="1" w:line="240" w:lineRule="auto"/>
    </w:pPr>
    <w:rPr>
      <w:rFonts w:ascii="Times New Roman" w:eastAsia="Times New Roman" w:hAnsi="Times New Roman"/>
      <w:sz w:val="24"/>
      <w:szCs w:val="24"/>
      <w:lang w:eastAsia="en-AU"/>
    </w:rPr>
  </w:style>
  <w:style w:type="character" w:styleId="Strong">
    <w:name w:val="Strong"/>
    <w:uiPriority w:val="22"/>
    <w:qFormat/>
    <w:rsid w:val="00E622F0"/>
    <w:rPr>
      <w:b/>
      <w:bCs/>
    </w:rPr>
  </w:style>
  <w:style w:type="character" w:styleId="HTMLDefinition">
    <w:name w:val="HTML Definition"/>
    <w:uiPriority w:val="99"/>
    <w:semiHidden/>
    <w:unhideWhenUsed/>
    <w:rsid w:val="00E622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72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munisationhandbook.health.gov.au/resources/handbook-tables/table-vaccines-that-are-routinely-recommended-in-pregnancy-inactivated"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mrc.gov.au/sites/default/files/documents/reports/clinical%20guidelines/ch55-staying-healthy.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health.gov.au/nhmr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ealth.nsw.gov.a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754F3-0253-4480-A316-77FF45E9C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1387</Words>
  <Characters>8380</Characters>
  <Application>Microsoft Office Word</Application>
  <DocSecurity>0</DocSecurity>
  <Lines>164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9685</CharactersWithSpaces>
  <SharedDoc>false</SharedDoc>
  <HLinks>
    <vt:vector size="12" baseType="variant">
      <vt:variant>
        <vt:i4>1114200</vt:i4>
      </vt:variant>
      <vt:variant>
        <vt:i4>3</vt:i4>
      </vt:variant>
      <vt:variant>
        <vt:i4>0</vt:i4>
      </vt:variant>
      <vt:variant>
        <vt:i4>5</vt:i4>
      </vt:variant>
      <vt:variant>
        <vt:lpwstr>http://www.health.nsw.gov.au/</vt:lpwstr>
      </vt:variant>
      <vt:variant>
        <vt:lpwstr/>
      </vt:variant>
      <vt:variant>
        <vt:i4>7733351</vt:i4>
      </vt:variant>
      <vt:variant>
        <vt:i4>0</vt:i4>
      </vt:variant>
      <vt:variant>
        <vt:i4>0</vt:i4>
      </vt:variant>
      <vt:variant>
        <vt:i4>5</vt:i4>
      </vt:variant>
      <vt:variant>
        <vt:lpwstr>https://immunisationhandbook.health.gov.au/resources/handbook-tables/table-vaccines-that-are-routinely-recommended-in-pregnancy-inactivated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3</cp:revision>
  <cp:lastPrinted>2024-09-19T04:22:00Z</cp:lastPrinted>
  <dcterms:created xsi:type="dcterms:W3CDTF">2025-03-11T01:41:00Z</dcterms:created>
  <dcterms:modified xsi:type="dcterms:W3CDTF">2025-10-27T23:47:00Z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5f66320d-bae1-4893-9217-fb39cee3e483</vt:lpwstr>
  </property>
</Properties>
</file>