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B2" w:rsidRPr="00B154B2" w:rsidRDefault="00B154B2" w:rsidP="00B154B2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</w:pPr>
      <w:r w:rsidRPr="00B154B2"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  <w:t>Educación religiosa</w:t>
      </w:r>
    </w:p>
    <w:p w:rsidR="00B154B2" w:rsidRPr="00B154B2" w:rsidRDefault="00B154B2" w:rsidP="00B154B2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/>
          <w:bCs/>
          <w:color w:val="5B9BD5"/>
          <w:sz w:val="24"/>
          <w:lang w:val="es-US" w:eastAsia="es-MX"/>
        </w:rPr>
        <w:t xml:space="preserve"> 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“</w:t>
      </w:r>
      <w:r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Promovemos la salud integral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”</w:t>
      </w:r>
    </w:p>
    <w:p w:rsidR="00B154B2" w:rsidRPr="00B154B2" w:rsidRDefault="00B154B2" w:rsidP="00B154B2">
      <w:pPr>
        <w:spacing w:after="120"/>
        <w:jc w:val="center"/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(</w:t>
      </w:r>
      <w:r w:rsidRPr="00B154B2">
        <w:rPr>
          <w:rFonts w:ascii="Bahnschrift Light" w:eastAsia="Times New Roman" w:hAnsi="Bahnschrift Light" w:cs="Times New Roman"/>
          <w:b/>
          <w:bCs/>
          <w:color w:val="5B9BD5"/>
          <w:sz w:val="28"/>
          <w:lang w:val="es-US" w:eastAsia="es-MX"/>
        </w:rPr>
        <w:t>INTRODUCCIÓN</w:t>
      </w: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)</w:t>
      </w:r>
    </w:p>
    <w:p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¡Hola! Te saluda Bela, esta semana comenzamos con la nueva experiencia de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Aprendizaje N°</w:t>
      </w:r>
      <w:r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8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.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 Tocaremos el tema de brindar </w:t>
      </w: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ayuda solidaria a quienes estén pasando por problemas de salud.</w:t>
      </w:r>
    </w:p>
    <w:p w:rsidR="00B154B2" w:rsidRPr="00B154B2" w:rsidRDefault="00B154B2" w:rsidP="00B154B2">
      <w:pPr>
        <w:spacing w:after="30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AABC1" wp14:editId="0BBBC3B0">
                <wp:simplePos x="0" y="0"/>
                <wp:positionH relativeFrom="column">
                  <wp:posOffset>17253</wp:posOffset>
                </wp:positionH>
                <wp:positionV relativeFrom="paragraph">
                  <wp:posOffset>314277</wp:posOffset>
                </wp:positionV>
                <wp:extent cx="6599207" cy="1423359"/>
                <wp:effectExtent l="0" t="0" r="1143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7" cy="142335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D439" id="Rectángulo 1" o:spid="_x0000_s1026" style="position:absolute;margin-left:1.35pt;margin-top:24.75pt;width:519.6pt;height:1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" fillcolor="#e2f0d9" strokecolor="#e2f0d9" strokeweight="1pt"/>
            </w:pict>
          </mc:Fallback>
        </mc:AlternateConten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¿De qué situación partimos?</w:t>
      </w:r>
    </w:p>
    <w:p w:rsidR="00B154B2" w:rsidRPr="00B154B2" w:rsidRDefault="00B154B2" w:rsidP="00B154B2">
      <w:pPr>
        <w:spacing w:after="300"/>
        <w:ind w:left="284" w:right="26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Actualmente, estamos bajo los efectos de la pandemia por Covid-19, sobre todo las personas en situación de vulnerabilidad son las más afectadas en su salud. Por ello, evitemos indiferencia. Una señ</w:t>
      </w:r>
      <w:r w:rsidR="00B143C8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al de que las cosas pueden mejorar son los numerosos testimonios de personas que se han unido con iniciativas de solidaridad y esperanza, enseñándonos que la salud integral favorece al bien común y que contribuye a la autorrealización personal.</w:t>
      </w:r>
    </w:p>
    <w:p w:rsidR="00B154B2" w:rsidRPr="00B154B2" w:rsidRDefault="00B154B2" w:rsidP="00B154B2">
      <w:pPr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Ante esta situación 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reto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es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: 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¿De qué </w:t>
      </w:r>
      <w:r w:rsidR="00B143C8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manera podemos ser signo de unidad en situaciones de indiferencia para promover la salud integral como bien común, desde iniciativas de solidaridad y esperanza?</w:t>
      </w:r>
    </w:p>
    <w:p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¿Qué vamos a aprender?</w:t>
      </w:r>
    </w:p>
    <w:p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Hagamos una lista de propósitos de aprendizaje que nos plantearíamos para iniciar nuestro trabajo de investigación.</w:t>
      </w:r>
    </w:p>
    <w:p w:rsidR="00B154B2" w:rsidRPr="00B154B2" w:rsidRDefault="00B154B2" w:rsidP="00B154B2">
      <w:pPr>
        <w:spacing w:after="120"/>
        <w:jc w:val="both"/>
        <w:rPr>
          <w:rFonts w:ascii="Maiandra GD" w:eastAsia="Times New Roman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color w:val="C00000"/>
          <w:sz w:val="26"/>
          <w:szCs w:val="26"/>
          <w:lang w:val="es-US" w:eastAsia="es-MX"/>
        </w:rPr>
        <w:t>(¿Qué crees que debes aprender o saber para resolver el reto? Podría ser…)</w:t>
      </w:r>
    </w:p>
    <w:p w:rsidR="00B154B2" w:rsidRPr="00B154B2" w:rsidRDefault="00B154B2" w:rsidP="00B154B2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Tener como base la palabra de Dios para buscar </w:t>
      </w:r>
      <w:r w:rsidR="00B143C8">
        <w:rPr>
          <w:rFonts w:ascii="Maiandra GD" w:eastAsia="Calibri" w:hAnsi="Maiandra GD" w:cs="Times New Roman"/>
          <w:bCs/>
          <w:sz w:val="26"/>
          <w:szCs w:val="26"/>
        </w:rPr>
        <w:t>formas de ayudar a nuestros hermanos.</w:t>
      </w:r>
    </w:p>
    <w:p w:rsidR="00B154B2" w:rsidRPr="00B154B2" w:rsidRDefault="00B154B2" w:rsidP="00B154B2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Identificar </w:t>
      </w:r>
      <w:r w:rsidR="00B143C8">
        <w:rPr>
          <w:rFonts w:ascii="Maiandra GD" w:eastAsia="Calibri" w:hAnsi="Maiandra GD" w:cs="Times New Roman"/>
          <w:bCs/>
          <w:sz w:val="26"/>
          <w:szCs w:val="26"/>
        </w:rPr>
        <w:t>en qué necesitan ayuda los más vulnerables: medicamentos, ropa, dinero, alimentos.</w:t>
      </w:r>
    </w:p>
    <w:p w:rsidR="00B154B2" w:rsidRPr="00B154B2" w:rsidRDefault="00B154B2" w:rsidP="00B154B2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</w:p>
    <w:p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Comparemos nuestros propósitos</w:t>
      </w:r>
    </w:p>
    <w:p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Inés dice: </w:t>
      </w:r>
    </w:p>
    <w:p w:rsidR="00B154B2" w:rsidRPr="00B154B2" w:rsidRDefault="00B154B2" w:rsidP="00B154B2">
      <w:pPr>
        <w:spacing w:after="120"/>
        <w:jc w:val="center"/>
        <w:rPr>
          <w:rFonts w:ascii="Century Gothic" w:eastAsia="Times New Roman" w:hAnsi="Century Gothic" w:cs="Times New Roman"/>
          <w:bCs/>
          <w:i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i/>
          <w:sz w:val="24"/>
          <w:szCs w:val="23"/>
          <w:lang w:val="es-US" w:eastAsia="es-MX"/>
        </w:rPr>
        <w:t xml:space="preserve">‘Queremos promover </w:t>
      </w:r>
      <w:r w:rsidR="00B143C8">
        <w:rPr>
          <w:rFonts w:ascii="Century Gothic" w:eastAsia="Times New Roman" w:hAnsi="Century Gothic" w:cs="Times New Roman"/>
          <w:bCs/>
          <w:i/>
          <w:sz w:val="24"/>
          <w:szCs w:val="23"/>
          <w:lang w:val="es-US" w:eastAsia="es-MX"/>
        </w:rPr>
        <w:t>la unidad y solidaridad en favor de la salud integral, ante situaciones de indiferencia, con iniciativas de esperanza que lleven al bien común’.</w:t>
      </w:r>
    </w:p>
    <w:p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Compara los propósitos que has planteado con los que te proponemos. ¿Cuáles son las coincidencias que encuentras entre ellos?</w:t>
      </w:r>
    </w:p>
    <w:p w:rsidR="00B154B2" w:rsidRPr="00B154B2" w:rsidRDefault="00B154B2" w:rsidP="00B154B2">
      <w:pPr>
        <w:spacing w:after="120"/>
        <w:ind w:left="567" w:hanging="141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 xml:space="preserve">- </w:t>
      </w:r>
      <w:r w:rsidR="00B143C8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No encuentro coincidencias explícitas.</w:t>
      </w:r>
    </w:p>
    <w:p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 xml:space="preserve">¿Qué haremos en esta nueva Experiencia de Aprendizaje </w:t>
      </w:r>
      <w:r w:rsidR="00B143C8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8</w: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?</w:t>
      </w:r>
    </w:p>
    <w:p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El propósito es: </w:t>
      </w:r>
    </w:p>
    <w:p w:rsidR="00B154B2" w:rsidRPr="00B154B2" w:rsidRDefault="00B154B2" w:rsidP="00B154B2">
      <w:pPr>
        <w:spacing w:after="120"/>
        <w:jc w:val="both"/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  <w:t xml:space="preserve">Promover </w:t>
      </w:r>
      <w:r w:rsidR="00B143C8"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  <w:t>la unidad y solidaridad a favor de la salud, ante situaciones de indiferencia con iniciativas esperanzadoras que lleven al bien común.</w:t>
      </w:r>
    </w:p>
    <w:p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Las actividades que realizaremos son las siguientes: </w:t>
      </w:r>
    </w:p>
    <w:p w:rsidR="00B154B2" w:rsidRPr="00B154B2" w:rsidRDefault="00B154B2" w:rsidP="00B154B2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Reflexionamos sobre la </w:t>
      </w:r>
      <w:r w:rsidR="00B143C8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solidaridad en el cuidado de nuestra salud integral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(Semana 2</w:t>
      </w:r>
      <w:r w:rsidR="00B143C8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9</w:t>
      </w:r>
      <w:r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)</w:t>
      </w:r>
    </w:p>
    <w:p w:rsidR="00B154B2" w:rsidRPr="00B154B2" w:rsidRDefault="00B143C8" w:rsidP="00B154B2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lastRenderedPageBreak/>
        <w:t>Promovemos la empatía y la salud integral</w:t>
      </w:r>
      <w:r w:rsidR="00B154B2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154B2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 xml:space="preserve">(Semana </w:t>
      </w:r>
      <w:r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30</w:t>
      </w:r>
      <w:r w:rsidR="00B154B2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)</w:t>
      </w:r>
    </w:p>
    <w:p w:rsidR="00B154B2" w:rsidRPr="00B154B2" w:rsidRDefault="00B143C8" w:rsidP="00B154B2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Difundimos la salud integral como bien común</w:t>
      </w:r>
      <w:r w:rsidR="00B154B2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154B2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 xml:space="preserve">(Semana </w:t>
      </w:r>
      <w:r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31</w:t>
      </w:r>
      <w:r w:rsidR="00B154B2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)</w:t>
      </w:r>
    </w:p>
    <w:p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producto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final será: </w:t>
      </w:r>
    </w:p>
    <w:p w:rsidR="00B154B2" w:rsidRPr="00B154B2" w:rsidRDefault="00B154B2" w:rsidP="00B154B2">
      <w:pP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 xml:space="preserve">Propuestas con acciones </w:t>
      </w:r>
      <w:r w:rsidR="00B143C8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de unidad y solidaridad en favor de la salud integral, con iniciativas de esperanza que lleven al bien común.</w:t>
      </w:r>
    </w:p>
    <w:p w:rsidR="00B154B2" w:rsidRPr="00B154B2" w:rsidRDefault="00B154B2" w:rsidP="00B154B2">
      <w:pPr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Nos planteamos metas y reconocemos oportunidades</w:t>
      </w:r>
    </w:p>
    <w:p w:rsidR="00B154B2" w:rsidRPr="00B154B2" w:rsidRDefault="00B154B2" w:rsidP="00B154B2">
      <w:pPr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¿Qué podríamos opinar sobre las características del producto planteado? ¿Qué metas personales y oportunidades propondríamos en el desarrollo de este trabajo?</w:t>
      </w:r>
    </w:p>
    <w:p w:rsidR="00B154B2" w:rsidRPr="00B154B2" w:rsidRDefault="00B154B2" w:rsidP="00B154B2">
      <w:pPr>
        <w:spacing w:after="120"/>
        <w:ind w:left="426" w:hanging="142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- Opino que el producto final es… Las metas que me plantearía…</w:t>
      </w:r>
    </w:p>
    <w:p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Organizamos nuestras actividades en días y horarios</w:t>
      </w:r>
    </w:p>
    <w:p w:rsidR="00B154B2" w:rsidRPr="00B154B2" w:rsidRDefault="00B154B2" w:rsidP="00B154B2">
      <w:pPr>
        <w:spacing w:after="120"/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</w:pPr>
      <w:r w:rsidRPr="00B154B2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Planifiquemos un horario de cómo trabajaremos las actividades planteadas.</w:t>
      </w:r>
    </w:p>
    <w:p w:rsidR="00B154B2" w:rsidRPr="00B154B2" w:rsidRDefault="00B154B2" w:rsidP="00B154B2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(Esta experiencia de aprendizaje durará </w:t>
      </w:r>
      <w:r w:rsidR="00E213DE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4</w:t>
      </w: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semanas</w:t>
      </w:r>
      <w:r w:rsidR="00E213DE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pero sólo nos enviaron 3 actividades en total</w:t>
      </w: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, trabajaremos una actividad por una en cada semana, según los días en que te toque trabajar el curso de Religión, por ejemplo):</w:t>
      </w:r>
    </w:p>
    <w:p w:rsidR="00B154B2" w:rsidRPr="00B154B2" w:rsidRDefault="00B154B2" w:rsidP="00B154B2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E213DE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29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1989"/>
        <w:gridCol w:w="2245"/>
        <w:gridCol w:w="2117"/>
        <w:gridCol w:w="2119"/>
      </w:tblGrid>
      <w:tr w:rsidR="00B154B2" w:rsidRPr="00B154B2" w:rsidTr="00B154B2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Lunes</w:t>
            </w:r>
          </w:p>
        </w:tc>
        <w:tc>
          <w:tcPr>
            <w:tcW w:w="1989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Martes</w:t>
            </w:r>
          </w:p>
        </w:tc>
        <w:tc>
          <w:tcPr>
            <w:tcW w:w="2245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Viernes</w:t>
            </w:r>
          </w:p>
        </w:tc>
      </w:tr>
      <w:tr w:rsidR="00B154B2" w:rsidRPr="00B154B2" w:rsidTr="00B154B2">
        <w:trPr>
          <w:trHeight w:val="1614"/>
        </w:trPr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29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</w:p>
        </w:tc>
        <w:tc>
          <w:tcPr>
            <w:tcW w:w="1989" w:type="dxa"/>
            <w:vAlign w:val="center"/>
          </w:tcPr>
          <w:p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245" w:type="dxa"/>
            <w:vAlign w:val="center"/>
          </w:tcPr>
          <w:p w:rsidR="00B154B2" w:rsidRPr="00B154B2" w:rsidRDefault="00B154B2" w:rsidP="00B154B2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1</w:t>
            </w:r>
          </w:p>
          <w:p w:rsidR="00B154B2" w:rsidRPr="00B154B2" w:rsidRDefault="00E213DE" w:rsidP="00B154B2">
            <w:pPr>
              <w:ind w:right="11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  <w:r w:rsidRPr="00E213DE">
              <w:rPr>
                <w:rFonts w:ascii="Century Gothic" w:eastAsia="Calibri" w:hAnsi="Century Gothic" w:cs="Times New Roman"/>
                <w:bCs/>
                <w:lang w:val="es-US"/>
              </w:rPr>
              <w:t>Reflexionamos sobre la solidaridad en el cuidado de nuestra salud integral</w:t>
            </w:r>
          </w:p>
        </w:tc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119" w:type="dxa"/>
            <w:vAlign w:val="center"/>
          </w:tcPr>
          <w:p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</w:tr>
    </w:tbl>
    <w:p w:rsidR="00B154B2" w:rsidRPr="00B154B2" w:rsidRDefault="00B154B2" w:rsidP="00B154B2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sz w:val="10"/>
          <w:lang w:val="es-US" w:eastAsia="es-MX"/>
        </w:rPr>
      </w:pPr>
    </w:p>
    <w:p w:rsidR="00B154B2" w:rsidRPr="00B154B2" w:rsidRDefault="00B154B2" w:rsidP="00B154B2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E213DE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30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154B2" w:rsidRPr="00B154B2" w:rsidTr="00B154B2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154B2" w:rsidRPr="00B154B2" w:rsidTr="00B154B2">
        <w:trPr>
          <w:trHeight w:val="1516"/>
        </w:trPr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154B2" w:rsidRPr="00B154B2" w:rsidRDefault="00B154B2" w:rsidP="00B154B2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2</w:t>
            </w:r>
          </w:p>
          <w:p w:rsidR="00B154B2" w:rsidRPr="00B154B2" w:rsidRDefault="00E213DE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 w:rsidRPr="00E213DE">
              <w:rPr>
                <w:rFonts w:ascii="Century Gothic" w:eastAsia="Calibri" w:hAnsi="Century Gothic" w:cs="Times New Roman"/>
                <w:bCs/>
                <w:lang w:val="es-US"/>
              </w:rPr>
              <w:t>Promovemos la empatía y la salud integral</w:t>
            </w:r>
          </w:p>
        </w:tc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:rsidR="00B154B2" w:rsidRPr="00B154B2" w:rsidRDefault="00B154B2" w:rsidP="00B154B2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lang w:val="es-US" w:eastAsia="es-MX"/>
        </w:rPr>
      </w:pPr>
    </w:p>
    <w:p w:rsidR="00B154B2" w:rsidRPr="00B154B2" w:rsidRDefault="00B154B2" w:rsidP="00B154B2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E213DE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31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154B2" w:rsidRPr="00B154B2" w:rsidTr="00B154B2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154B2" w:rsidRPr="00B154B2" w:rsidTr="00B154B2">
        <w:trPr>
          <w:trHeight w:val="1806"/>
        </w:trPr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154B2" w:rsidRPr="00B154B2" w:rsidRDefault="00B154B2" w:rsidP="00B154B2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3</w:t>
            </w:r>
          </w:p>
          <w:p w:rsidR="00B154B2" w:rsidRPr="00B154B2" w:rsidRDefault="00E213DE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 w:rsidRPr="00E213DE">
              <w:rPr>
                <w:rFonts w:ascii="Century Gothic" w:eastAsia="Calibri" w:hAnsi="Century Gothic" w:cs="Times New Roman"/>
                <w:bCs/>
                <w:sz w:val="24"/>
                <w:lang w:val="es-US"/>
              </w:rPr>
              <w:t>Difundimos la salud integral como bien común</w:t>
            </w:r>
            <w:r w:rsidR="00B154B2" w:rsidRPr="00B154B2">
              <w:rPr>
                <w:rFonts w:ascii="Century Gothic" w:eastAsia="Calibri" w:hAnsi="Century Gothic" w:cs="Times New Roman"/>
                <w:bCs/>
                <w:sz w:val="24"/>
              </w:rPr>
              <w:t>.</w:t>
            </w:r>
          </w:p>
        </w:tc>
        <w:tc>
          <w:tcPr>
            <w:tcW w:w="2117" w:type="dxa"/>
            <w:vAlign w:val="center"/>
          </w:tcPr>
          <w:p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:rsidR="00B154B2" w:rsidRPr="00B154B2" w:rsidRDefault="00B154B2" w:rsidP="00B154B2">
      <w:pPr>
        <w:spacing w:after="120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</w:p>
    <w:p w:rsidR="00E213DE" w:rsidRDefault="00B154B2" w:rsidP="00B154B2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Hasta aquí, hemos terminado lo que es la introducción a esta nueva experiencia de aprendizaje, a partir de aquí ya puedes empezar a desarrollar la actividad 1 de la semana </w:t>
      </w:r>
      <w:r w:rsidR="00E213DE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29</w:t>
      </w: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. </w:t>
      </w:r>
    </w:p>
    <w:p w:rsidR="00E213DE" w:rsidRDefault="00E213DE" w:rsidP="00B154B2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Recuerda que esta experiencia durará 4 semanas, pero sólo se han enviado 3 actividades, así que en la última semana de desarrollo, no se hará nada en religión.</w:t>
      </w:r>
      <w:bookmarkStart w:id="0" w:name="_GoBack"/>
      <w:bookmarkEnd w:id="0"/>
    </w:p>
    <w:p w:rsidR="00E213DE" w:rsidRDefault="00B154B2" w:rsidP="00B154B2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Nos vemos uwu</w:t>
      </w:r>
    </w:p>
    <w:p w:rsidR="00E213DE" w:rsidRPr="00B154B2" w:rsidRDefault="00E213DE" w:rsidP="00B154B2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</w:p>
    <w:p w:rsidR="00B154B2" w:rsidRPr="00B154B2" w:rsidRDefault="00B154B2" w:rsidP="00B154B2">
      <w:pP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32"/>
          <w:szCs w:val="26"/>
          <w:u w:val="single"/>
          <w:lang w:val="es-US" w:eastAsia="es-MX"/>
        </w:rPr>
        <w:t>Bela Konrad</w:t>
      </w:r>
    </w:p>
    <w:p w:rsidR="00B154B2" w:rsidRPr="00B154B2" w:rsidRDefault="00B154B2" w:rsidP="00B154B2">
      <w:pP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</w:p>
    <w:p w:rsidR="000F5DB6" w:rsidRDefault="000F5DB6"/>
    <w:sectPr w:rsidR="000F5DB6" w:rsidSect="00B154B2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EE" w:rsidRDefault="008110EE" w:rsidP="00B154B2">
      <w:pPr>
        <w:spacing w:after="0" w:line="240" w:lineRule="auto"/>
      </w:pPr>
      <w:r>
        <w:separator/>
      </w:r>
    </w:p>
  </w:endnote>
  <w:endnote w:type="continuationSeparator" w:id="0">
    <w:p w:rsidR="008110EE" w:rsidRDefault="008110EE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EE" w:rsidRDefault="008110EE" w:rsidP="00B154B2">
      <w:pPr>
        <w:spacing w:after="0" w:line="240" w:lineRule="auto"/>
      </w:pPr>
      <w:r>
        <w:separator/>
      </w:r>
    </w:p>
  </w:footnote>
  <w:footnote w:type="continuationSeparator" w:id="0">
    <w:p w:rsidR="008110EE" w:rsidRDefault="008110EE" w:rsidP="00B1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B2" w:rsidRPr="00B154B2" w:rsidRDefault="00B154B2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06F48"/>
    <w:multiLevelType w:val="hybridMultilevel"/>
    <w:tmpl w:val="EABCC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25B3"/>
    <w:multiLevelType w:val="hybridMultilevel"/>
    <w:tmpl w:val="54187238"/>
    <w:lvl w:ilvl="0" w:tplc="350ED2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472C4" w:themeColor="accent5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4C0595"/>
    <w:multiLevelType w:val="hybridMultilevel"/>
    <w:tmpl w:val="97866AC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B2"/>
    <w:rsid w:val="000F5DB6"/>
    <w:rsid w:val="008110EE"/>
    <w:rsid w:val="00B143C8"/>
    <w:rsid w:val="00B154B2"/>
    <w:rsid w:val="00E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5F38F0-8D8E-4B20-87C3-7389EC7C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4B2"/>
  </w:style>
  <w:style w:type="paragraph" w:styleId="Piedepgina">
    <w:name w:val="footer"/>
    <w:basedOn w:val="Normal"/>
    <w:link w:val="PiedepginaCar"/>
    <w:uiPriority w:val="99"/>
    <w:unhideWhenUsed/>
    <w:rsid w:val="00B1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4B2"/>
  </w:style>
  <w:style w:type="table" w:customStyle="1" w:styleId="Tablaconcuadrcula1">
    <w:name w:val="Tabla con cuadrícula1"/>
    <w:basedOn w:val="Tablanormal"/>
    <w:next w:val="Tablaconcuadrcula"/>
    <w:uiPriority w:val="39"/>
    <w:rsid w:val="00B1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1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2021-10-17T05:20:00Z</dcterms:created>
  <dcterms:modified xsi:type="dcterms:W3CDTF">2021-10-17T05:45:00Z</dcterms:modified>
</cp:coreProperties>
</file>