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FE" w:rsidRDefault="001E22FE" w:rsidP="001E22FE">
      <w:pPr>
        <w:rPr>
          <w:rFonts w:ascii="Times New Roman" w:hAnsi="Times New Roman"/>
          <w:sz w:val="24"/>
          <w:szCs w:val="24"/>
        </w:rPr>
      </w:pPr>
    </w:p>
    <w:p w:rsidR="001E22FE" w:rsidRPr="00010481" w:rsidRDefault="001E22FE" w:rsidP="001E22FE">
      <w:pPr>
        <w:rPr>
          <w:rFonts w:ascii="Times New Roman" w:hAnsi="Times New Roman"/>
          <w:sz w:val="24"/>
          <w:szCs w:val="24"/>
        </w:rPr>
      </w:pPr>
    </w:p>
    <w:p w:rsidR="001E22FE" w:rsidRPr="00010481" w:rsidRDefault="001E22FE" w:rsidP="001E22FE">
      <w:pPr>
        <w:rPr>
          <w:rFonts w:ascii="Times New Roman" w:hAnsi="Times New Roman"/>
          <w:sz w:val="24"/>
          <w:szCs w:val="24"/>
        </w:rPr>
      </w:pPr>
    </w:p>
    <w:p w:rsidR="001E22FE" w:rsidRPr="00010481" w:rsidRDefault="001E22FE" w:rsidP="001E22FE">
      <w:pPr>
        <w:rPr>
          <w:rFonts w:ascii="Times New Roman" w:hAnsi="Times New Roman"/>
          <w:sz w:val="24"/>
          <w:szCs w:val="24"/>
        </w:rPr>
      </w:pPr>
    </w:p>
    <w:p w:rsidR="001E22FE" w:rsidRPr="00010481" w:rsidRDefault="001E22FE" w:rsidP="001E22FE">
      <w:pPr>
        <w:rPr>
          <w:rFonts w:ascii="Times New Roman" w:hAnsi="Times New Roman"/>
          <w:sz w:val="24"/>
          <w:szCs w:val="24"/>
        </w:rPr>
      </w:pPr>
    </w:p>
    <w:p w:rsidR="001E22FE" w:rsidRPr="00010481" w:rsidRDefault="001E22FE" w:rsidP="001E22FE">
      <w:pPr>
        <w:rPr>
          <w:rFonts w:ascii="Times New Roman" w:hAnsi="Times New Roman"/>
          <w:sz w:val="24"/>
          <w:szCs w:val="24"/>
        </w:rPr>
      </w:pPr>
    </w:p>
    <w:p w:rsidR="001E22FE" w:rsidRPr="00FE41EA" w:rsidRDefault="00FE41EA" w:rsidP="001E22FE">
      <w:pPr>
        <w:jc w:val="center"/>
        <w:rPr>
          <w:rFonts w:ascii="Times New Roman" w:hAnsi="Times New Roman"/>
          <w:smallCaps/>
          <w:sz w:val="28"/>
          <w:szCs w:val="24"/>
        </w:rPr>
      </w:pPr>
      <w:r w:rsidRPr="00FE41EA">
        <w:rPr>
          <w:rFonts w:ascii="Times New Roman" w:hAnsi="Times New Roman"/>
          <w:smallCaps/>
          <w:sz w:val="28"/>
          <w:szCs w:val="24"/>
        </w:rPr>
        <w:t>Westminster’s Impending Short Title Quandary: And How To Fix It</w:t>
      </w:r>
    </w:p>
    <w:p w:rsidR="001E22FE" w:rsidRPr="00010481" w:rsidRDefault="001E22FE" w:rsidP="001E22FE">
      <w:pPr>
        <w:jc w:val="center"/>
        <w:rPr>
          <w:rFonts w:ascii="Times New Roman" w:hAnsi="Times New Roman"/>
          <w:sz w:val="24"/>
          <w:szCs w:val="24"/>
        </w:rPr>
      </w:pPr>
    </w:p>
    <w:p w:rsidR="001E22FE" w:rsidRPr="00010481" w:rsidRDefault="001E22FE" w:rsidP="001E22FE">
      <w:pPr>
        <w:jc w:val="center"/>
        <w:rPr>
          <w:rFonts w:ascii="Times New Roman" w:hAnsi="Times New Roman"/>
          <w:sz w:val="24"/>
          <w:szCs w:val="24"/>
        </w:rPr>
      </w:pPr>
      <w:r w:rsidRPr="00010481">
        <w:rPr>
          <w:rFonts w:ascii="Times New Roman" w:hAnsi="Times New Roman"/>
          <w:sz w:val="24"/>
          <w:szCs w:val="24"/>
        </w:rPr>
        <w:t>By</w:t>
      </w:r>
    </w:p>
    <w:p w:rsidR="001E22FE" w:rsidRPr="00010481" w:rsidRDefault="001E22FE" w:rsidP="001E22FE">
      <w:pPr>
        <w:jc w:val="center"/>
        <w:rPr>
          <w:rFonts w:ascii="Times New Roman" w:hAnsi="Times New Roman"/>
          <w:sz w:val="24"/>
          <w:szCs w:val="24"/>
        </w:rPr>
      </w:pPr>
    </w:p>
    <w:p w:rsidR="00764358" w:rsidRPr="00FF0BAB" w:rsidRDefault="00764358" w:rsidP="00764358">
      <w:pPr>
        <w:jc w:val="center"/>
        <w:rPr>
          <w:rFonts w:ascii="Times New Roman" w:hAnsi="Times New Roman" w:cs="Times New Roman"/>
          <w:sz w:val="20"/>
          <w:szCs w:val="20"/>
        </w:rPr>
      </w:pPr>
      <w:r w:rsidRPr="00C465DD">
        <w:rPr>
          <w:rFonts w:ascii="Times New Roman" w:hAnsi="Times New Roman" w:cs="Times New Roman"/>
          <w:sz w:val="24"/>
          <w:szCs w:val="24"/>
        </w:rPr>
        <w:t>Brian Christopher Jones</w:t>
      </w:r>
      <w:r w:rsidRPr="008516A7">
        <w:rPr>
          <w:rStyle w:val="FootnoteReference"/>
          <w:rFonts w:ascii="Times New Roman" w:hAnsi="Times New Roman" w:cs="Times New Roman"/>
          <w:sz w:val="20"/>
          <w:szCs w:val="20"/>
        </w:rPr>
        <w:footnoteReference w:customMarkFollows="1" w:id="1"/>
        <w:sym w:font="Symbol" w:char="F02A"/>
      </w:r>
    </w:p>
    <w:p w:rsidR="001E22FE" w:rsidRPr="00010481" w:rsidRDefault="001E22FE" w:rsidP="001E22FE">
      <w:pPr>
        <w:jc w:val="center"/>
        <w:rPr>
          <w:rFonts w:ascii="Times New Roman" w:hAnsi="Times New Roman"/>
          <w:sz w:val="24"/>
          <w:szCs w:val="24"/>
        </w:rPr>
      </w:pPr>
    </w:p>
    <w:p w:rsidR="001E22FE" w:rsidRPr="00010481" w:rsidRDefault="001E22FE" w:rsidP="001E22FE">
      <w:pPr>
        <w:jc w:val="center"/>
        <w:rPr>
          <w:rFonts w:ascii="Times New Roman" w:hAnsi="Times New Roman"/>
          <w:sz w:val="24"/>
          <w:szCs w:val="24"/>
        </w:rPr>
      </w:pPr>
    </w:p>
    <w:p w:rsidR="00764358" w:rsidRDefault="00764358">
      <w:pPr>
        <w:rPr>
          <w:rFonts w:ascii="Times New Roman" w:hAnsi="Times New Roman"/>
          <w:sz w:val="24"/>
          <w:szCs w:val="24"/>
        </w:rPr>
      </w:pPr>
      <w:r>
        <w:rPr>
          <w:rFonts w:ascii="Times New Roman" w:hAnsi="Times New Roman"/>
          <w:sz w:val="24"/>
          <w:szCs w:val="24"/>
        </w:rPr>
        <w:br w:type="page"/>
      </w:r>
    </w:p>
    <w:p w:rsidR="001E22FE" w:rsidRPr="00667D96" w:rsidRDefault="001E22FE" w:rsidP="00667D96">
      <w:pPr>
        <w:jc w:val="center"/>
        <w:rPr>
          <w:rFonts w:ascii="Times New Roman" w:hAnsi="Times New Roman"/>
          <w:sz w:val="24"/>
          <w:szCs w:val="24"/>
        </w:rPr>
      </w:pPr>
      <w:r w:rsidRPr="00010481">
        <w:rPr>
          <w:rFonts w:ascii="Times New Roman" w:hAnsi="Times New Roman"/>
          <w:sz w:val="24"/>
          <w:szCs w:val="24"/>
        </w:rPr>
        <w:lastRenderedPageBreak/>
        <w:t>ABSTRACT</w:t>
      </w:r>
    </w:p>
    <w:p w:rsidR="001E22FE" w:rsidRPr="00010481" w:rsidRDefault="00764358" w:rsidP="00DF3F5D">
      <w:pPr>
        <w:pStyle w:val="NoSpacing"/>
        <w:spacing w:line="480" w:lineRule="auto"/>
        <w:jc w:val="both"/>
        <w:rPr>
          <w:lang w:val="en-GB"/>
        </w:rPr>
      </w:pPr>
      <w:r>
        <w:rPr>
          <w:lang w:val="en-GB"/>
        </w:rPr>
        <w:t xml:space="preserve">This article uses original research and secondary sources to </w:t>
      </w:r>
      <w:r w:rsidR="001F178B">
        <w:rPr>
          <w:lang w:val="en-GB"/>
        </w:rPr>
        <w:t>determine</w:t>
      </w:r>
      <w:r>
        <w:rPr>
          <w:lang w:val="en-GB"/>
        </w:rPr>
        <w:t xml:space="preserve"> that short titles in Westminster </w:t>
      </w:r>
      <w:r w:rsidR="00124502">
        <w:rPr>
          <w:lang w:val="en-GB"/>
        </w:rPr>
        <w:t>may</w:t>
      </w:r>
      <w:r>
        <w:rPr>
          <w:lang w:val="en-GB"/>
        </w:rPr>
        <w:t xml:space="preserve"> become increasingly problematical in years to come. It </w:t>
      </w:r>
      <w:r w:rsidR="00082826">
        <w:rPr>
          <w:lang w:val="en-GB"/>
        </w:rPr>
        <w:t>concentrates on</w:t>
      </w:r>
      <w:r w:rsidR="00124502">
        <w:rPr>
          <w:lang w:val="en-GB"/>
        </w:rPr>
        <w:t xml:space="preserve"> the policies </w:t>
      </w:r>
      <w:r>
        <w:rPr>
          <w:lang w:val="en-GB"/>
        </w:rPr>
        <w:t>related to short title drafting and the procedures which govern disp</w:t>
      </w:r>
      <w:r w:rsidR="0073386B">
        <w:rPr>
          <w:lang w:val="en-GB"/>
        </w:rPr>
        <w:t xml:space="preserve">utes in regard to such matters, and finds there to be a </w:t>
      </w:r>
      <w:r w:rsidR="001F178B">
        <w:rPr>
          <w:lang w:val="en-GB"/>
        </w:rPr>
        <w:t>significant</w:t>
      </w:r>
      <w:r w:rsidR="0073386B">
        <w:rPr>
          <w:lang w:val="en-GB"/>
        </w:rPr>
        <w:t xml:space="preserve"> dearth of both. Moreover, </w:t>
      </w:r>
      <w:r w:rsidR="006575C4">
        <w:rPr>
          <w:lang w:val="en-GB"/>
        </w:rPr>
        <w:t xml:space="preserve">it finds that </w:t>
      </w:r>
      <w:r w:rsidR="0073386B">
        <w:rPr>
          <w:lang w:val="en-GB"/>
        </w:rPr>
        <w:t xml:space="preserve">the </w:t>
      </w:r>
      <w:r>
        <w:rPr>
          <w:lang w:val="en-GB"/>
        </w:rPr>
        <w:t xml:space="preserve">lack of an official </w:t>
      </w:r>
      <w:r w:rsidR="0073386B">
        <w:rPr>
          <w:lang w:val="en-GB"/>
        </w:rPr>
        <w:t xml:space="preserve">bill drafting manual or a proper form of legislation is </w:t>
      </w:r>
      <w:r w:rsidR="00082826">
        <w:rPr>
          <w:lang w:val="en-GB"/>
        </w:rPr>
        <w:t xml:space="preserve">especially </w:t>
      </w:r>
      <w:r w:rsidR="0073386B">
        <w:rPr>
          <w:lang w:val="en-GB"/>
        </w:rPr>
        <w:t xml:space="preserve">odd, </w:t>
      </w:r>
      <w:r w:rsidR="00082826">
        <w:rPr>
          <w:lang w:val="en-GB"/>
        </w:rPr>
        <w:t>since</w:t>
      </w:r>
      <w:r w:rsidR="0073386B">
        <w:rPr>
          <w:lang w:val="en-GB"/>
        </w:rPr>
        <w:t xml:space="preserve"> Westminster operates i</w:t>
      </w:r>
      <w:r w:rsidR="006575C4">
        <w:rPr>
          <w:lang w:val="en-GB"/>
        </w:rPr>
        <w:t>n a parliamentary democracy that adheres</w:t>
      </w:r>
      <w:r w:rsidR="0073386B">
        <w:rPr>
          <w:lang w:val="en-GB"/>
        </w:rPr>
        <w:t xml:space="preserve"> </w:t>
      </w:r>
      <w:r w:rsidR="006575C4">
        <w:rPr>
          <w:lang w:val="en-GB"/>
        </w:rPr>
        <w:t xml:space="preserve">to </w:t>
      </w:r>
      <w:r w:rsidR="0073386B">
        <w:rPr>
          <w:lang w:val="en-GB"/>
        </w:rPr>
        <w:t>the legal doctrine of legislative supremacy</w:t>
      </w:r>
      <w:r w:rsidR="006575C4">
        <w:rPr>
          <w:lang w:val="en-GB"/>
        </w:rPr>
        <w:t xml:space="preserve"> of Parliament</w:t>
      </w:r>
      <w:r w:rsidR="0073386B">
        <w:rPr>
          <w:lang w:val="en-GB"/>
        </w:rPr>
        <w:t xml:space="preserve">. </w:t>
      </w:r>
      <w:r w:rsidR="006575C4">
        <w:rPr>
          <w:lang w:val="en-GB"/>
        </w:rPr>
        <w:t>Given the lack of short titl</w:t>
      </w:r>
      <w:r w:rsidR="00082826">
        <w:rPr>
          <w:lang w:val="en-GB"/>
        </w:rPr>
        <w:t>e standards in Westminster, the</w:t>
      </w:r>
      <w:r w:rsidR="006575C4">
        <w:rPr>
          <w:lang w:val="en-GB"/>
        </w:rPr>
        <w:t xml:space="preserve"> </w:t>
      </w:r>
      <w:r w:rsidR="00082826">
        <w:rPr>
          <w:lang w:val="en-GB"/>
        </w:rPr>
        <w:t>author</w:t>
      </w:r>
      <w:r w:rsidR="006575C4">
        <w:rPr>
          <w:lang w:val="en-GB"/>
        </w:rPr>
        <w:t xml:space="preserve"> offers </w:t>
      </w:r>
      <w:r w:rsidR="00082826">
        <w:rPr>
          <w:lang w:val="en-GB"/>
        </w:rPr>
        <w:t>his</w:t>
      </w:r>
      <w:r w:rsidR="006575C4">
        <w:rPr>
          <w:lang w:val="en-GB"/>
        </w:rPr>
        <w:t xml:space="preserve"> own advice in regard to such matters, and additionally </w:t>
      </w:r>
      <w:r w:rsidR="00082826">
        <w:rPr>
          <w:lang w:val="en-GB"/>
        </w:rPr>
        <w:t>seeks advice from</w:t>
      </w:r>
      <w:r w:rsidR="006575C4">
        <w:rPr>
          <w:lang w:val="en-GB"/>
        </w:rPr>
        <w:t xml:space="preserve"> other </w:t>
      </w:r>
      <w:r>
        <w:rPr>
          <w:lang w:val="en-GB"/>
        </w:rPr>
        <w:t xml:space="preserve">commonwealth nations </w:t>
      </w:r>
      <w:r w:rsidR="00082826">
        <w:rPr>
          <w:lang w:val="en-GB"/>
        </w:rPr>
        <w:t xml:space="preserve">that </w:t>
      </w:r>
      <w:r>
        <w:rPr>
          <w:lang w:val="en-GB"/>
        </w:rPr>
        <w:t xml:space="preserve">have implemented such standards, </w:t>
      </w:r>
      <w:r w:rsidR="00082826">
        <w:rPr>
          <w:lang w:val="en-GB"/>
        </w:rPr>
        <w:t xml:space="preserve">and </w:t>
      </w:r>
      <w:r>
        <w:rPr>
          <w:lang w:val="en-GB"/>
        </w:rPr>
        <w:t xml:space="preserve">which could </w:t>
      </w:r>
      <w:r w:rsidR="005B60C0">
        <w:rPr>
          <w:lang w:val="en-GB"/>
        </w:rPr>
        <w:t xml:space="preserve">potentially </w:t>
      </w:r>
      <w:r>
        <w:rPr>
          <w:lang w:val="en-GB"/>
        </w:rPr>
        <w:t>be used as a guide for Westminster. Ultimately, it concludes that the implementation of such standards and procedures would quell some o</w:t>
      </w:r>
      <w:r w:rsidR="00862BF9">
        <w:rPr>
          <w:lang w:val="en-GB"/>
        </w:rPr>
        <w:t>f the tension between Ministers, drafters and House Authorities,</w:t>
      </w:r>
      <w:r>
        <w:rPr>
          <w:lang w:val="en-GB"/>
        </w:rPr>
        <w:t xml:space="preserve"> and halt a </w:t>
      </w:r>
      <w:r w:rsidR="005B60C0">
        <w:rPr>
          <w:lang w:val="en-GB"/>
        </w:rPr>
        <w:t xml:space="preserve">burgeoning </w:t>
      </w:r>
      <w:r>
        <w:rPr>
          <w:lang w:val="en-GB"/>
        </w:rPr>
        <w:t xml:space="preserve">problem </w:t>
      </w:r>
      <w:r w:rsidR="005B60C0">
        <w:rPr>
          <w:lang w:val="en-GB"/>
        </w:rPr>
        <w:t xml:space="preserve">before it further develops. </w:t>
      </w:r>
    </w:p>
    <w:p w:rsidR="001E22FE" w:rsidRPr="00010481" w:rsidRDefault="001E22FE" w:rsidP="001E22FE">
      <w:pPr>
        <w:pStyle w:val="NoSpacing"/>
        <w:spacing w:line="480" w:lineRule="auto"/>
        <w:ind w:firstLine="720"/>
        <w:rPr>
          <w:lang w:val="en-GB"/>
        </w:rPr>
      </w:pPr>
    </w:p>
    <w:p w:rsidR="001E22FE" w:rsidRPr="00010481" w:rsidRDefault="001E22FE" w:rsidP="001E22FE">
      <w:pPr>
        <w:rPr>
          <w:rFonts w:ascii="Times New Roman" w:eastAsia="Times New Roman" w:hAnsi="Times New Roman" w:cs="Times New Roman"/>
          <w:sz w:val="24"/>
          <w:szCs w:val="24"/>
        </w:rPr>
      </w:pPr>
      <w:r w:rsidRPr="00010481">
        <w:br w:type="page"/>
      </w:r>
    </w:p>
    <w:p w:rsidR="00306200" w:rsidRDefault="00764358" w:rsidP="000F271B">
      <w:pPr>
        <w:pStyle w:val="NoSpacing"/>
        <w:spacing w:line="480" w:lineRule="auto"/>
        <w:jc w:val="both"/>
        <w:rPr>
          <w:lang w:val="en-GB"/>
        </w:rPr>
      </w:pPr>
      <w:r>
        <w:rPr>
          <w:lang w:val="en-GB"/>
        </w:rPr>
        <w:lastRenderedPageBreak/>
        <w:t>The passing</w:t>
      </w:r>
      <w:r w:rsidRPr="00010481">
        <w:rPr>
          <w:lang w:val="en-GB"/>
        </w:rPr>
        <w:t xml:space="preserve"> of the Protection of Freedoms </w:t>
      </w:r>
      <w:r w:rsidR="000630C8">
        <w:rPr>
          <w:lang w:val="en-GB"/>
        </w:rPr>
        <w:t>Act</w:t>
      </w:r>
      <w:r w:rsidRPr="00010481">
        <w:rPr>
          <w:lang w:val="en-GB"/>
        </w:rPr>
        <w:t xml:space="preserve"> 2012</w:t>
      </w:r>
      <w:r w:rsidR="003F7C52" w:rsidRPr="00010481">
        <w:rPr>
          <w:rStyle w:val="FootnoteReference"/>
          <w:lang w:val="en-GB"/>
        </w:rPr>
        <w:footnoteReference w:id="2"/>
      </w:r>
      <w:r w:rsidR="00B42EEC">
        <w:rPr>
          <w:lang w:val="en-GB"/>
        </w:rPr>
        <w:t xml:space="preserve"> marks</w:t>
      </w:r>
      <w:r w:rsidRPr="00010481">
        <w:rPr>
          <w:lang w:val="en-GB"/>
        </w:rPr>
        <w:t xml:space="preserve"> only the second time in the history of Westminster that the word ‘freedom’ was </w:t>
      </w:r>
      <w:r w:rsidR="00090C6F">
        <w:rPr>
          <w:lang w:val="en-GB"/>
        </w:rPr>
        <w:t>placed</w:t>
      </w:r>
      <w:r w:rsidRPr="00010481">
        <w:rPr>
          <w:lang w:val="en-GB"/>
        </w:rPr>
        <w:t xml:space="preserve"> in the </w:t>
      </w:r>
      <w:r w:rsidR="0055386E" w:rsidRPr="00010481">
        <w:rPr>
          <w:lang w:val="en-GB"/>
        </w:rPr>
        <w:t xml:space="preserve">short </w:t>
      </w:r>
      <w:r w:rsidRPr="00010481">
        <w:rPr>
          <w:lang w:val="en-GB"/>
        </w:rPr>
        <w:t xml:space="preserve">title of a Public General Act. The only other </w:t>
      </w:r>
      <w:r w:rsidR="00010481">
        <w:rPr>
          <w:lang w:val="en-GB"/>
        </w:rPr>
        <w:t>instance in which</w:t>
      </w:r>
      <w:r>
        <w:rPr>
          <w:lang w:val="en-GB"/>
        </w:rPr>
        <w:t xml:space="preserve"> the word was used came at the turn of the century</w:t>
      </w:r>
      <w:r w:rsidRPr="00010481">
        <w:rPr>
          <w:lang w:val="en-GB"/>
        </w:rPr>
        <w:t>, with passage of the Freedom of Information Act</w:t>
      </w:r>
      <w:r>
        <w:rPr>
          <w:lang w:val="en-GB"/>
        </w:rPr>
        <w:t xml:space="preserve"> 2000</w:t>
      </w:r>
      <w:r w:rsidRPr="00010481">
        <w:rPr>
          <w:lang w:val="en-GB"/>
        </w:rPr>
        <w:t>.</w:t>
      </w:r>
      <w:r w:rsidR="003F7C52" w:rsidRPr="00010481">
        <w:rPr>
          <w:rStyle w:val="FootnoteReference"/>
          <w:lang w:val="en-GB"/>
        </w:rPr>
        <w:footnoteReference w:id="3"/>
      </w:r>
      <w:r w:rsidRPr="00010481">
        <w:rPr>
          <w:lang w:val="en-GB"/>
        </w:rPr>
        <w:t xml:space="preserve"> </w:t>
      </w:r>
      <w:r w:rsidR="00723368">
        <w:rPr>
          <w:lang w:val="en-GB"/>
        </w:rPr>
        <w:t>I</w:t>
      </w:r>
      <w:r>
        <w:rPr>
          <w:lang w:val="en-GB"/>
        </w:rPr>
        <w:t>t</w:t>
      </w:r>
      <w:r w:rsidR="00306200">
        <w:rPr>
          <w:lang w:val="en-GB"/>
        </w:rPr>
        <w:t xml:space="preserve"> is unknown how or why </w:t>
      </w:r>
      <w:r>
        <w:rPr>
          <w:lang w:val="en-GB"/>
        </w:rPr>
        <w:t>the former piece of</w:t>
      </w:r>
      <w:r w:rsidR="00306200">
        <w:rPr>
          <w:lang w:val="en-GB"/>
        </w:rPr>
        <w:t xml:space="preserve"> legislation used the word </w:t>
      </w:r>
      <w:r w:rsidR="00344376">
        <w:rPr>
          <w:lang w:val="en-GB"/>
        </w:rPr>
        <w:t>‘</w:t>
      </w:r>
      <w:r w:rsidR="00306200">
        <w:rPr>
          <w:lang w:val="en-GB"/>
        </w:rPr>
        <w:t>freedoms</w:t>
      </w:r>
      <w:r w:rsidR="00344376">
        <w:rPr>
          <w:lang w:val="en-GB"/>
        </w:rPr>
        <w:t>’</w:t>
      </w:r>
      <w:r w:rsidR="00306200">
        <w:rPr>
          <w:lang w:val="en-GB"/>
        </w:rPr>
        <w:t xml:space="preserve">, as opposed to </w:t>
      </w:r>
      <w:r w:rsidR="00344376">
        <w:rPr>
          <w:lang w:val="en-GB"/>
        </w:rPr>
        <w:t>other designations, such as ‘rights’ or even ‘amendments’</w:t>
      </w:r>
      <w:r w:rsidR="00306200">
        <w:rPr>
          <w:lang w:val="en-GB"/>
        </w:rPr>
        <w:t xml:space="preserve">. </w:t>
      </w:r>
      <w:r>
        <w:rPr>
          <w:lang w:val="en-GB"/>
        </w:rPr>
        <w:t>Essentially the bill is a list of repeals and amendments to other Acts, such as the Police an</w:t>
      </w:r>
      <w:r w:rsidR="00D344FC">
        <w:rPr>
          <w:lang w:val="en-GB"/>
        </w:rPr>
        <w:t xml:space="preserve">d Criminal Evidence Act (PACE) and </w:t>
      </w:r>
      <w:r>
        <w:rPr>
          <w:lang w:val="en-GB"/>
        </w:rPr>
        <w:t xml:space="preserve">the </w:t>
      </w:r>
      <w:r w:rsidRPr="00F858A0">
        <w:rPr>
          <w:lang w:val="en-GB"/>
        </w:rPr>
        <w:t>Regulation of Investigatory Powers Act 2000 (</w:t>
      </w:r>
      <w:r>
        <w:rPr>
          <w:lang w:val="en-GB"/>
        </w:rPr>
        <w:t>‘</w:t>
      </w:r>
      <w:r w:rsidRPr="00F858A0">
        <w:rPr>
          <w:lang w:val="en-GB"/>
        </w:rPr>
        <w:t>RIPA</w:t>
      </w:r>
      <w:r>
        <w:rPr>
          <w:lang w:val="en-GB"/>
        </w:rPr>
        <w:t>’</w:t>
      </w:r>
      <w:r w:rsidR="00D344FC">
        <w:rPr>
          <w:lang w:val="en-GB"/>
        </w:rPr>
        <w:t>)</w:t>
      </w:r>
      <w:r>
        <w:rPr>
          <w:lang w:val="en-GB"/>
        </w:rPr>
        <w:t>.</w:t>
      </w:r>
      <w:r>
        <w:rPr>
          <w:rStyle w:val="FootnoteReference"/>
          <w:lang w:val="en-GB"/>
        </w:rPr>
        <w:footnoteReference w:id="4"/>
      </w:r>
      <w:r>
        <w:rPr>
          <w:lang w:val="en-GB"/>
        </w:rPr>
        <w:t xml:space="preserve"> </w:t>
      </w:r>
      <w:r w:rsidR="00344376">
        <w:rPr>
          <w:lang w:val="en-GB"/>
        </w:rPr>
        <w:t>The word</w:t>
      </w:r>
      <w:r>
        <w:rPr>
          <w:lang w:val="en-GB"/>
        </w:rPr>
        <w:t xml:space="preserve"> ‘rights’</w:t>
      </w:r>
      <w:r w:rsidR="00344376">
        <w:rPr>
          <w:lang w:val="en-GB"/>
        </w:rPr>
        <w:t xml:space="preserve"> is relatively common in short title use: it </w:t>
      </w:r>
      <w:r>
        <w:rPr>
          <w:lang w:val="en-GB"/>
        </w:rPr>
        <w:t>has been used seventeen</w:t>
      </w:r>
      <w:r w:rsidR="00306200">
        <w:rPr>
          <w:lang w:val="en-GB"/>
        </w:rPr>
        <w:t xml:space="preserve"> times in P</w:t>
      </w:r>
      <w:r>
        <w:rPr>
          <w:lang w:val="en-GB"/>
        </w:rPr>
        <w:t xml:space="preserve">ublic </w:t>
      </w:r>
      <w:r w:rsidR="00306200">
        <w:rPr>
          <w:lang w:val="en-GB"/>
        </w:rPr>
        <w:t>G</w:t>
      </w:r>
      <w:r>
        <w:rPr>
          <w:lang w:val="en-GB"/>
        </w:rPr>
        <w:t xml:space="preserve">eneral Acts </w:t>
      </w:r>
      <w:r w:rsidR="00344376">
        <w:rPr>
          <w:lang w:val="en-GB"/>
        </w:rPr>
        <w:t>dating</w:t>
      </w:r>
      <w:r>
        <w:rPr>
          <w:lang w:val="en-GB"/>
        </w:rPr>
        <w:t xml:space="preserve"> back to 1882.</w:t>
      </w:r>
      <w:r w:rsidR="00713E08">
        <w:rPr>
          <w:rStyle w:val="FootnoteReference"/>
          <w:lang w:val="en-GB"/>
        </w:rPr>
        <w:footnoteReference w:id="5"/>
      </w:r>
      <w:r w:rsidR="00723368">
        <w:rPr>
          <w:lang w:val="en-GB"/>
        </w:rPr>
        <w:t xml:space="preserve"> Also, s</w:t>
      </w:r>
      <w:r>
        <w:rPr>
          <w:lang w:val="en-GB"/>
        </w:rPr>
        <w:t xml:space="preserve">ince the </w:t>
      </w:r>
      <w:r w:rsidR="00344376">
        <w:rPr>
          <w:lang w:val="en-GB"/>
        </w:rPr>
        <w:t xml:space="preserve">‘Freedoms’ </w:t>
      </w:r>
      <w:r>
        <w:rPr>
          <w:lang w:val="en-GB"/>
        </w:rPr>
        <w:t xml:space="preserve">Act is </w:t>
      </w:r>
      <w:r w:rsidR="00090C6F">
        <w:rPr>
          <w:lang w:val="en-GB"/>
        </w:rPr>
        <w:t>also</w:t>
      </w:r>
      <w:r>
        <w:rPr>
          <w:lang w:val="en-GB"/>
        </w:rPr>
        <w:t xml:space="preserve"> composed of </w:t>
      </w:r>
      <w:r w:rsidR="00090C6F">
        <w:rPr>
          <w:lang w:val="en-GB"/>
        </w:rPr>
        <w:t xml:space="preserve">various </w:t>
      </w:r>
      <w:r>
        <w:rPr>
          <w:lang w:val="en-GB"/>
        </w:rPr>
        <w:t xml:space="preserve">repeals, it could have fallen under </w:t>
      </w:r>
      <w:r w:rsidR="00344376">
        <w:rPr>
          <w:lang w:val="en-GB"/>
        </w:rPr>
        <w:t>the common title</w:t>
      </w:r>
      <w:r>
        <w:rPr>
          <w:lang w:val="en-GB"/>
        </w:rPr>
        <w:t xml:space="preserve"> </w:t>
      </w:r>
      <w:r w:rsidR="00344376">
        <w:rPr>
          <w:lang w:val="en-GB"/>
        </w:rPr>
        <w:t>‘</w:t>
      </w:r>
      <w:r>
        <w:rPr>
          <w:lang w:val="en-GB"/>
        </w:rPr>
        <w:t>Statute Law (Repeals) Act</w:t>
      </w:r>
      <w:r w:rsidR="00344376">
        <w:rPr>
          <w:lang w:val="en-GB"/>
        </w:rPr>
        <w:t>’</w:t>
      </w:r>
      <w:r>
        <w:rPr>
          <w:lang w:val="en-GB"/>
        </w:rPr>
        <w:t xml:space="preserve">, which has been consistently </w:t>
      </w:r>
      <w:r w:rsidR="00090C6F">
        <w:rPr>
          <w:lang w:val="en-GB"/>
        </w:rPr>
        <w:t xml:space="preserve">used </w:t>
      </w:r>
      <w:r w:rsidR="00306200">
        <w:rPr>
          <w:lang w:val="en-GB"/>
        </w:rPr>
        <w:t xml:space="preserve">for Public </w:t>
      </w:r>
      <w:r w:rsidR="00EF6A24">
        <w:rPr>
          <w:lang w:val="en-GB"/>
        </w:rPr>
        <w:t>General Acts</w:t>
      </w:r>
      <w:r>
        <w:rPr>
          <w:lang w:val="en-GB"/>
        </w:rPr>
        <w:t xml:space="preserve"> since 1969. </w:t>
      </w:r>
      <w:r w:rsidR="00723368">
        <w:rPr>
          <w:lang w:val="en-GB"/>
        </w:rPr>
        <w:t xml:space="preserve">Yet it appears the government wanted this bill to be uniquely named. </w:t>
      </w:r>
      <w:r w:rsidR="00FC3E81">
        <w:rPr>
          <w:lang w:val="en-GB"/>
        </w:rPr>
        <w:t>I</w:t>
      </w:r>
      <w:r>
        <w:rPr>
          <w:lang w:val="en-GB"/>
        </w:rPr>
        <w:t>t wil</w:t>
      </w:r>
      <w:r w:rsidR="00EF6A24">
        <w:rPr>
          <w:lang w:val="en-GB"/>
        </w:rPr>
        <w:t xml:space="preserve">l </w:t>
      </w:r>
      <w:r w:rsidR="00FC3E81">
        <w:rPr>
          <w:lang w:val="en-GB"/>
        </w:rPr>
        <w:t xml:space="preserve">certainly </w:t>
      </w:r>
      <w:r w:rsidR="00EF6A24">
        <w:rPr>
          <w:lang w:val="en-GB"/>
        </w:rPr>
        <w:t>be interesting to see how future ‘rights’, ‘amendments’ or ‘repeals’ Bills are named</w:t>
      </w:r>
      <w:r>
        <w:rPr>
          <w:lang w:val="en-GB"/>
        </w:rPr>
        <w:t xml:space="preserve">, and what particular wording is chosen. </w:t>
      </w:r>
    </w:p>
    <w:p w:rsidR="00764358" w:rsidRPr="00010481" w:rsidRDefault="00764358" w:rsidP="003B43CF">
      <w:pPr>
        <w:pStyle w:val="NoSpacing"/>
        <w:spacing w:line="480" w:lineRule="auto"/>
        <w:ind w:firstLine="360"/>
        <w:jc w:val="both"/>
        <w:rPr>
          <w:lang w:val="en-GB"/>
        </w:rPr>
      </w:pPr>
      <w:r w:rsidRPr="00010481">
        <w:rPr>
          <w:lang w:val="en-GB"/>
        </w:rPr>
        <w:t xml:space="preserve">Whether this is a passing contemporary </w:t>
      </w:r>
      <w:r w:rsidR="00010481" w:rsidRPr="00010481">
        <w:rPr>
          <w:lang w:val="en-GB"/>
        </w:rPr>
        <w:t>trend</w:t>
      </w:r>
      <w:r w:rsidR="00010481">
        <w:rPr>
          <w:lang w:val="en-GB"/>
        </w:rPr>
        <w:t xml:space="preserve"> or a sign of</w:t>
      </w:r>
      <w:r w:rsidRPr="00010481">
        <w:rPr>
          <w:lang w:val="en-GB"/>
        </w:rPr>
        <w:t xml:space="preserve"> change in the </w:t>
      </w:r>
      <w:r>
        <w:rPr>
          <w:lang w:val="en-GB"/>
        </w:rPr>
        <w:t>language</w:t>
      </w:r>
      <w:r w:rsidRPr="00010481">
        <w:rPr>
          <w:lang w:val="en-GB"/>
        </w:rPr>
        <w:t xml:space="preserve"> that is used to title bill</w:t>
      </w:r>
      <w:r w:rsidR="0055386E" w:rsidRPr="00010481">
        <w:rPr>
          <w:lang w:val="en-GB"/>
        </w:rPr>
        <w:t>s at Westminster</w:t>
      </w:r>
      <w:r w:rsidR="00EF6A24">
        <w:rPr>
          <w:lang w:val="en-GB"/>
        </w:rPr>
        <w:t xml:space="preserve"> is at this point </w:t>
      </w:r>
      <w:r w:rsidRPr="00010481">
        <w:rPr>
          <w:lang w:val="en-GB"/>
        </w:rPr>
        <w:t xml:space="preserve">impossible to predict. </w:t>
      </w:r>
      <w:r w:rsidR="0055386E" w:rsidRPr="00010481">
        <w:rPr>
          <w:lang w:val="en-GB"/>
        </w:rPr>
        <w:t xml:space="preserve">The only thing likely to remain constant </w:t>
      </w:r>
      <w:r>
        <w:rPr>
          <w:lang w:val="en-GB"/>
        </w:rPr>
        <w:t xml:space="preserve">in the lawmaking body </w:t>
      </w:r>
      <w:r w:rsidR="0055386E" w:rsidRPr="00010481">
        <w:rPr>
          <w:lang w:val="en-GB"/>
        </w:rPr>
        <w:t xml:space="preserve">is the fact that all bills presented to </w:t>
      </w:r>
      <w:r w:rsidR="00293ABB">
        <w:rPr>
          <w:lang w:val="en-GB"/>
        </w:rPr>
        <w:t>Parliament</w:t>
      </w:r>
      <w:r w:rsidR="0055386E" w:rsidRPr="00010481">
        <w:rPr>
          <w:lang w:val="en-GB"/>
        </w:rPr>
        <w:t xml:space="preserve"> will continue to have short titles. </w:t>
      </w:r>
      <w:r w:rsidR="003F7C52" w:rsidRPr="00010481">
        <w:rPr>
          <w:lang w:val="en-GB"/>
        </w:rPr>
        <w:t xml:space="preserve">Through the Short Titles Act of 1896, the Statute Law Revision Act 1948, and the Statute Law Revision (Scotland) Act 1964 Westminster decided that short titles were legal </w:t>
      </w:r>
      <w:r w:rsidR="00293ABB">
        <w:rPr>
          <w:lang w:val="en-GB"/>
        </w:rPr>
        <w:t>devices</w:t>
      </w:r>
      <w:r w:rsidR="003F7C52" w:rsidRPr="00010481">
        <w:rPr>
          <w:lang w:val="en-GB"/>
        </w:rPr>
        <w:t xml:space="preserve"> associated with the statute book</w:t>
      </w:r>
      <w:r w:rsidR="00627356" w:rsidRPr="00010481">
        <w:rPr>
          <w:lang w:val="en-GB"/>
        </w:rPr>
        <w:t>, and th</w:t>
      </w:r>
      <w:r w:rsidR="003E67EB">
        <w:rPr>
          <w:lang w:val="en-GB"/>
        </w:rPr>
        <w:t xml:space="preserve">at all bills and laws </w:t>
      </w:r>
      <w:r w:rsidR="00306200">
        <w:rPr>
          <w:lang w:val="en-GB"/>
        </w:rPr>
        <w:t xml:space="preserve">should </w:t>
      </w:r>
      <w:r w:rsidR="00306200">
        <w:rPr>
          <w:lang w:val="en-GB"/>
        </w:rPr>
        <w:lastRenderedPageBreak/>
        <w:t>contain</w:t>
      </w:r>
      <w:r w:rsidR="003E67EB">
        <w:rPr>
          <w:lang w:val="en-GB"/>
        </w:rPr>
        <w:t xml:space="preserve"> one</w:t>
      </w:r>
      <w:r w:rsidR="003F7C52" w:rsidRPr="00010481">
        <w:rPr>
          <w:lang w:val="en-GB"/>
        </w:rPr>
        <w:t>.</w:t>
      </w:r>
      <w:r w:rsidR="003F7C52" w:rsidRPr="00010481">
        <w:rPr>
          <w:rStyle w:val="FootnoteReference"/>
          <w:lang w:val="en-GB"/>
        </w:rPr>
        <w:footnoteReference w:id="6"/>
      </w:r>
      <w:r w:rsidR="00627356" w:rsidRPr="00010481">
        <w:rPr>
          <w:lang w:val="en-GB"/>
        </w:rPr>
        <w:t xml:space="preserve"> </w:t>
      </w:r>
      <w:r w:rsidR="006A69FB">
        <w:rPr>
          <w:lang w:val="en-GB"/>
        </w:rPr>
        <w:t>Nevertheless</w:t>
      </w:r>
      <w:r w:rsidR="00627356" w:rsidRPr="00010481">
        <w:rPr>
          <w:lang w:val="en-GB"/>
        </w:rPr>
        <w:t xml:space="preserve">, </w:t>
      </w:r>
      <w:r>
        <w:rPr>
          <w:lang w:val="en-GB"/>
        </w:rPr>
        <w:t>though some of these have been mandated by law for over a century</w:t>
      </w:r>
      <w:r w:rsidR="00627356" w:rsidRPr="00010481">
        <w:rPr>
          <w:lang w:val="en-GB"/>
        </w:rPr>
        <w:t xml:space="preserve">, Westminster has </w:t>
      </w:r>
      <w:r>
        <w:rPr>
          <w:lang w:val="en-GB"/>
        </w:rPr>
        <w:t>still failed</w:t>
      </w:r>
      <w:r w:rsidR="00627356" w:rsidRPr="00010481">
        <w:rPr>
          <w:lang w:val="en-GB"/>
        </w:rPr>
        <w:t xml:space="preserve"> to state any official standards in regard to such titles, </w:t>
      </w:r>
      <w:r>
        <w:rPr>
          <w:lang w:val="en-GB"/>
        </w:rPr>
        <w:t xml:space="preserve">thus deferring to unofficial congeniality </w:t>
      </w:r>
      <w:r w:rsidR="003E67EB">
        <w:rPr>
          <w:lang w:val="en-GB"/>
        </w:rPr>
        <w:t xml:space="preserve">and negotiation </w:t>
      </w:r>
      <w:r>
        <w:rPr>
          <w:lang w:val="en-GB"/>
        </w:rPr>
        <w:t>among those involved in the process to</w:t>
      </w:r>
      <w:r w:rsidR="003E67EB">
        <w:rPr>
          <w:lang w:val="en-GB"/>
        </w:rPr>
        <w:t xml:space="preserve"> work </w:t>
      </w:r>
      <w:r>
        <w:rPr>
          <w:lang w:val="en-GB"/>
        </w:rPr>
        <w:t xml:space="preserve">with one another. </w:t>
      </w:r>
      <w:r w:rsidR="00306200">
        <w:rPr>
          <w:lang w:val="en-GB"/>
        </w:rPr>
        <w:t>T</w:t>
      </w:r>
      <w:r w:rsidR="003E67EB">
        <w:rPr>
          <w:lang w:val="en-GB"/>
        </w:rPr>
        <w:t>o date</w:t>
      </w:r>
      <w:r w:rsidR="00306200">
        <w:rPr>
          <w:lang w:val="en-GB"/>
        </w:rPr>
        <w:t>,</w:t>
      </w:r>
      <w:r w:rsidR="003E67EB">
        <w:rPr>
          <w:lang w:val="en-GB"/>
        </w:rPr>
        <w:t xml:space="preserve"> such an arrangement has not radic</w:t>
      </w:r>
      <w:r w:rsidR="00306200">
        <w:rPr>
          <w:lang w:val="en-GB"/>
        </w:rPr>
        <w:t>ally impact</w:t>
      </w:r>
      <w:r w:rsidR="0007357B">
        <w:rPr>
          <w:lang w:val="en-GB"/>
        </w:rPr>
        <w:t xml:space="preserve">ed the statute book, as many </w:t>
      </w:r>
      <w:r w:rsidR="00306200">
        <w:rPr>
          <w:lang w:val="en-GB"/>
        </w:rPr>
        <w:t xml:space="preserve">short titles appear as descriptively bland as </w:t>
      </w:r>
      <w:r w:rsidR="0007357B">
        <w:rPr>
          <w:lang w:val="en-GB"/>
        </w:rPr>
        <w:t>their historical predecessors</w:t>
      </w:r>
      <w:r w:rsidR="00306200">
        <w:rPr>
          <w:lang w:val="en-GB"/>
        </w:rPr>
        <w:t xml:space="preserve">. However, </w:t>
      </w:r>
      <w:r w:rsidR="003E67EB">
        <w:rPr>
          <w:lang w:val="en-GB"/>
        </w:rPr>
        <w:t xml:space="preserve">there are </w:t>
      </w:r>
      <w:r w:rsidR="00306200">
        <w:rPr>
          <w:lang w:val="en-GB"/>
        </w:rPr>
        <w:t>evermore</w:t>
      </w:r>
      <w:r w:rsidR="003E67EB">
        <w:rPr>
          <w:lang w:val="en-GB"/>
        </w:rPr>
        <w:t xml:space="preserve"> signs that </w:t>
      </w:r>
      <w:r w:rsidR="00306200">
        <w:rPr>
          <w:lang w:val="en-GB"/>
        </w:rPr>
        <w:t>short bill titles are</w:t>
      </w:r>
      <w:r w:rsidR="00627356" w:rsidRPr="00010481">
        <w:rPr>
          <w:lang w:val="en-GB"/>
        </w:rPr>
        <w:t xml:space="preserve"> likely to beco</w:t>
      </w:r>
      <w:r w:rsidR="00E801C4">
        <w:rPr>
          <w:lang w:val="en-GB"/>
        </w:rPr>
        <w:t>me a problem in the coming years</w:t>
      </w:r>
      <w:r w:rsidR="00627356" w:rsidRPr="00010481">
        <w:rPr>
          <w:lang w:val="en-GB"/>
        </w:rPr>
        <w:t xml:space="preserve">. </w:t>
      </w:r>
    </w:p>
    <w:p w:rsidR="00010481" w:rsidRDefault="000630C8" w:rsidP="00E76298">
      <w:pPr>
        <w:pStyle w:val="NoSpacing"/>
        <w:spacing w:line="480" w:lineRule="auto"/>
        <w:ind w:firstLine="360"/>
        <w:jc w:val="both"/>
        <w:rPr>
          <w:lang w:val="en-GB"/>
        </w:rPr>
      </w:pPr>
      <w:r>
        <w:rPr>
          <w:lang w:val="en-GB"/>
        </w:rPr>
        <w:t xml:space="preserve">Other </w:t>
      </w:r>
      <w:r w:rsidR="00E801C4">
        <w:rPr>
          <w:lang w:val="en-GB"/>
        </w:rPr>
        <w:t>authors</w:t>
      </w:r>
      <w:r w:rsidR="00764358" w:rsidRPr="00010481">
        <w:rPr>
          <w:lang w:val="en-GB"/>
        </w:rPr>
        <w:t xml:space="preserve"> </w:t>
      </w:r>
      <w:r>
        <w:rPr>
          <w:lang w:val="en-GB"/>
        </w:rPr>
        <w:t>have</w:t>
      </w:r>
      <w:r w:rsidR="006B4DF9">
        <w:rPr>
          <w:lang w:val="en-GB"/>
        </w:rPr>
        <w:t xml:space="preserve"> </w:t>
      </w:r>
      <w:r w:rsidR="003F4127" w:rsidRPr="00010481">
        <w:rPr>
          <w:lang w:val="en-GB"/>
        </w:rPr>
        <w:t xml:space="preserve">acknowledged </w:t>
      </w:r>
      <w:r w:rsidR="003B43CF">
        <w:rPr>
          <w:lang w:val="en-GB"/>
        </w:rPr>
        <w:t xml:space="preserve">cases of </w:t>
      </w:r>
      <w:r w:rsidR="006B4DF9">
        <w:rPr>
          <w:lang w:val="en-GB"/>
        </w:rPr>
        <w:t>short titles being used beyond their referential designations. Willet questioned whether the Food Safety Act 1990</w:t>
      </w:r>
      <w:r w:rsidR="006B4DF9">
        <w:rPr>
          <w:rStyle w:val="FootnoteReference"/>
          <w:lang w:val="en-GB"/>
        </w:rPr>
        <w:footnoteReference w:id="7"/>
      </w:r>
      <w:r w:rsidR="006B4DF9">
        <w:rPr>
          <w:lang w:val="en-GB"/>
        </w:rPr>
        <w:t xml:space="preserve"> was more symbolism than substance, deriding the ‘safety’ aspect of the measure and the government’s inclusion of the term in the short title.</w:t>
      </w:r>
      <w:r w:rsidR="006B4DF9">
        <w:rPr>
          <w:rStyle w:val="FootnoteReference"/>
          <w:lang w:val="en-GB"/>
        </w:rPr>
        <w:footnoteReference w:id="8"/>
      </w:r>
      <w:r w:rsidR="006B4DF9">
        <w:rPr>
          <w:lang w:val="en-GB"/>
        </w:rPr>
        <w:t xml:space="preserve"> In regard to the Act he further notes that ‘the legislative process – from White paper to statute book – manifests a significant degree of symbolism’.</w:t>
      </w:r>
      <w:r w:rsidR="006B4DF9">
        <w:rPr>
          <w:rStyle w:val="FootnoteReference"/>
          <w:lang w:val="en-GB"/>
        </w:rPr>
        <w:footnoteReference w:id="9"/>
      </w:r>
      <w:r w:rsidR="006B4DF9">
        <w:rPr>
          <w:lang w:val="en-GB"/>
        </w:rPr>
        <w:t xml:space="preserve"> </w:t>
      </w:r>
      <w:r w:rsidR="003B43CF">
        <w:rPr>
          <w:lang w:val="en-GB"/>
        </w:rPr>
        <w:t xml:space="preserve">Orr </w:t>
      </w:r>
      <w:r w:rsidR="006B4DF9">
        <w:rPr>
          <w:lang w:val="en-GB"/>
        </w:rPr>
        <w:t>acknowledged t</w:t>
      </w:r>
      <w:r w:rsidR="006B4DF9" w:rsidRPr="00010481">
        <w:rPr>
          <w:lang w:val="en-GB"/>
        </w:rPr>
        <w:t>he unwieldy state of Australian short bill titles early last decade</w:t>
      </w:r>
      <w:r w:rsidR="006B4DF9">
        <w:rPr>
          <w:lang w:val="en-GB"/>
        </w:rPr>
        <w:t xml:space="preserve">, and </w:t>
      </w:r>
      <w:r w:rsidR="003B43CF">
        <w:rPr>
          <w:lang w:val="en-GB"/>
        </w:rPr>
        <w:t>stated that his country’s Parliamentary B</w:t>
      </w:r>
      <w:r w:rsidR="00764358" w:rsidRPr="00010481">
        <w:rPr>
          <w:lang w:val="en-GB"/>
        </w:rPr>
        <w:t>ill titles had morphed into sloganeering,</w:t>
      </w:r>
      <w:r w:rsidR="00764358" w:rsidRPr="00010481">
        <w:rPr>
          <w:rStyle w:val="FootnoteReference"/>
          <w:lang w:val="en-GB"/>
        </w:rPr>
        <w:footnoteReference w:id="10"/>
      </w:r>
      <w:r w:rsidR="00764358" w:rsidRPr="00010481">
        <w:rPr>
          <w:lang w:val="en-GB"/>
        </w:rPr>
        <w:t xml:space="preserve"> and then shortly thereafter, punning.</w:t>
      </w:r>
      <w:r w:rsidR="00764358" w:rsidRPr="00010481">
        <w:rPr>
          <w:rStyle w:val="FootnoteReference"/>
          <w:lang w:val="en-GB"/>
        </w:rPr>
        <w:footnoteReference w:id="11"/>
      </w:r>
      <w:r w:rsidR="00215F5E" w:rsidRPr="00010481">
        <w:rPr>
          <w:lang w:val="en-GB"/>
        </w:rPr>
        <w:t xml:space="preserve"> Orr stated in his latter piece that the Australian Parliament had been inspired by the creative short titles in the US Congress</w:t>
      </w:r>
      <w:r w:rsidR="006151B2">
        <w:rPr>
          <w:lang w:val="en-GB"/>
        </w:rPr>
        <w:t>, and transiti</w:t>
      </w:r>
      <w:r w:rsidR="00466EBF">
        <w:rPr>
          <w:lang w:val="en-GB"/>
        </w:rPr>
        <w:t xml:space="preserve">oned from </w:t>
      </w:r>
      <w:r w:rsidR="003127E9">
        <w:rPr>
          <w:lang w:val="en-GB"/>
        </w:rPr>
        <w:t xml:space="preserve">a </w:t>
      </w:r>
      <w:r w:rsidR="00466EBF">
        <w:rPr>
          <w:lang w:val="en-GB"/>
        </w:rPr>
        <w:t>more British style to an American style</w:t>
      </w:r>
      <w:r w:rsidR="00215F5E" w:rsidRPr="00010481">
        <w:rPr>
          <w:lang w:val="en-GB"/>
        </w:rPr>
        <w:t>.</w:t>
      </w:r>
      <w:r w:rsidR="00215F5E" w:rsidRPr="00010481">
        <w:rPr>
          <w:rStyle w:val="FootnoteReference"/>
          <w:lang w:val="en-GB"/>
        </w:rPr>
        <w:footnoteReference w:id="12"/>
      </w:r>
      <w:r w:rsidR="00764358" w:rsidRPr="00010481">
        <w:rPr>
          <w:lang w:val="en-GB"/>
        </w:rPr>
        <w:t xml:space="preserve"> </w:t>
      </w:r>
      <w:r w:rsidR="00215F5E" w:rsidRPr="00010481">
        <w:rPr>
          <w:lang w:val="en-GB"/>
        </w:rPr>
        <w:t xml:space="preserve">This author has recently brought to light that some of those close </w:t>
      </w:r>
      <w:r w:rsidR="00215F5E" w:rsidRPr="00010481">
        <w:rPr>
          <w:lang w:val="en-GB"/>
        </w:rPr>
        <w:lastRenderedPageBreak/>
        <w:t>to the legislative process in Westminster, including lawmakers from the Commons and Lords, believe short titles to be important pieces of the legislative process.</w:t>
      </w:r>
      <w:r w:rsidR="00215F5E" w:rsidRPr="00010481">
        <w:rPr>
          <w:rStyle w:val="FootnoteReference"/>
          <w:lang w:val="en-GB"/>
        </w:rPr>
        <w:footnoteReference w:id="13"/>
      </w:r>
      <w:r w:rsidR="00215F5E" w:rsidRPr="00010481">
        <w:rPr>
          <w:lang w:val="en-GB"/>
        </w:rPr>
        <w:t xml:space="preserve"> </w:t>
      </w:r>
      <w:r w:rsidR="00010481" w:rsidRPr="00010481">
        <w:rPr>
          <w:lang w:val="en-GB"/>
        </w:rPr>
        <w:t xml:space="preserve">Additionally, a </w:t>
      </w:r>
      <w:r w:rsidR="00010481">
        <w:rPr>
          <w:lang w:val="en-GB"/>
        </w:rPr>
        <w:t xml:space="preserve">Westminster </w:t>
      </w:r>
      <w:r w:rsidR="00010481" w:rsidRPr="00010481">
        <w:rPr>
          <w:lang w:val="en-GB"/>
        </w:rPr>
        <w:t>drafte</w:t>
      </w:r>
      <w:r w:rsidR="003127E9">
        <w:rPr>
          <w:lang w:val="en-GB"/>
        </w:rPr>
        <w:t>r revealed that he ‘quite often</w:t>
      </w:r>
      <w:r w:rsidR="00010481" w:rsidRPr="00010481">
        <w:rPr>
          <w:lang w:val="en-GB"/>
        </w:rPr>
        <w:t xml:space="preserve"> gets requests</w:t>
      </w:r>
      <w:r w:rsidR="003127E9">
        <w:rPr>
          <w:lang w:val="en-GB"/>
        </w:rPr>
        <w:t>’</w:t>
      </w:r>
      <w:r w:rsidR="00010481" w:rsidRPr="00010481">
        <w:rPr>
          <w:lang w:val="en-GB"/>
        </w:rPr>
        <w:t xml:space="preserve"> for evocative bill names,</w:t>
      </w:r>
      <w:r w:rsidR="00010481" w:rsidRPr="00010481">
        <w:rPr>
          <w:rStyle w:val="FootnoteReference"/>
          <w:lang w:val="en-GB"/>
        </w:rPr>
        <w:footnoteReference w:id="14"/>
      </w:r>
      <w:r w:rsidR="00010481" w:rsidRPr="00010481">
        <w:rPr>
          <w:lang w:val="en-GB"/>
        </w:rPr>
        <w:t xml:space="preserve"> and individuals in and around Westminster believe that they will start personalising their bill titles</w:t>
      </w:r>
      <w:r w:rsidR="003E67EB">
        <w:rPr>
          <w:lang w:val="en-GB"/>
        </w:rPr>
        <w:t xml:space="preserve"> in the future</w:t>
      </w:r>
      <w:r w:rsidR="00764358">
        <w:rPr>
          <w:lang w:val="en-GB"/>
        </w:rPr>
        <w:t xml:space="preserve">, </w:t>
      </w:r>
      <w:r w:rsidR="00EF6A24">
        <w:rPr>
          <w:lang w:val="en-GB"/>
        </w:rPr>
        <w:t>akin</w:t>
      </w:r>
      <w:r w:rsidR="00764358">
        <w:rPr>
          <w:lang w:val="en-GB"/>
        </w:rPr>
        <w:t xml:space="preserve"> to how the US Congress </w:t>
      </w:r>
      <w:r w:rsidR="00636BA4">
        <w:rPr>
          <w:lang w:val="en-GB"/>
        </w:rPr>
        <w:t>currently labels some of their bills</w:t>
      </w:r>
      <w:r w:rsidR="00010481" w:rsidRPr="00010481">
        <w:rPr>
          <w:lang w:val="en-GB"/>
        </w:rPr>
        <w:t>.</w:t>
      </w:r>
      <w:r w:rsidR="00010481" w:rsidRPr="00010481">
        <w:rPr>
          <w:rStyle w:val="FootnoteReference"/>
          <w:lang w:val="en-GB"/>
        </w:rPr>
        <w:footnoteReference w:id="15"/>
      </w:r>
      <w:r w:rsidR="00010481" w:rsidRPr="00010481">
        <w:rPr>
          <w:lang w:val="en-GB"/>
        </w:rPr>
        <w:t xml:space="preserve"> </w:t>
      </w:r>
    </w:p>
    <w:p w:rsidR="0013784D" w:rsidRPr="00241748" w:rsidRDefault="00EF6A24" w:rsidP="006B4DF9">
      <w:pPr>
        <w:pStyle w:val="NoSpacing"/>
        <w:spacing w:line="480" w:lineRule="auto"/>
        <w:ind w:firstLine="360"/>
        <w:jc w:val="both"/>
        <w:rPr>
          <w:lang w:val="en-GB"/>
        </w:rPr>
      </w:pPr>
      <w:r>
        <w:rPr>
          <w:lang w:val="en-GB"/>
        </w:rPr>
        <w:t>In conjunction with this author’s material, i</w:t>
      </w:r>
      <w:r w:rsidR="000630C8">
        <w:rPr>
          <w:lang w:val="en-GB"/>
        </w:rPr>
        <w:t>n the autumn of 2009 I interviewed</w:t>
      </w:r>
      <w:r w:rsidR="003127E9">
        <w:rPr>
          <w:lang w:val="en-GB"/>
        </w:rPr>
        <w:t xml:space="preserve"> eleven individuals close to the legislative process at Westminster (</w:t>
      </w:r>
      <w:r w:rsidR="005D12EB" w:rsidRPr="005D12EB">
        <w:rPr>
          <w:lang w:val="en-GB"/>
        </w:rPr>
        <w:t>7 MPs,</w:t>
      </w:r>
      <w:r w:rsidR="006B4DF9">
        <w:rPr>
          <w:lang w:val="en-GB"/>
        </w:rPr>
        <w:t xml:space="preserve"> 2 Lords, 1 Baroness, and 1 Parliamentary Counsel drafter</w:t>
      </w:r>
      <w:r w:rsidR="003127E9">
        <w:rPr>
          <w:lang w:val="en-GB"/>
        </w:rPr>
        <w:t>)</w:t>
      </w:r>
      <w:r w:rsidR="006A69FB">
        <w:rPr>
          <w:lang w:val="en-GB"/>
        </w:rPr>
        <w:t xml:space="preserve">, about promotional </w:t>
      </w:r>
      <w:r w:rsidR="003127E9">
        <w:rPr>
          <w:lang w:val="en-GB"/>
        </w:rPr>
        <w:t xml:space="preserve">and tendentious </w:t>
      </w:r>
      <w:r w:rsidR="006A69FB">
        <w:rPr>
          <w:lang w:val="en-GB"/>
        </w:rPr>
        <w:t>language in bill titles.</w:t>
      </w:r>
      <w:r w:rsidR="00764358">
        <w:rPr>
          <w:lang w:val="en-GB"/>
        </w:rPr>
        <w:t xml:space="preserve"> In particular, I asked them whether or not they approved of using words such as ‘prevention’ and ‘protection’ in </w:t>
      </w:r>
      <w:r w:rsidR="00DF47F2">
        <w:rPr>
          <w:lang w:val="en-GB"/>
        </w:rPr>
        <w:t>short</w:t>
      </w:r>
      <w:r w:rsidR="00764358">
        <w:rPr>
          <w:lang w:val="en-GB"/>
        </w:rPr>
        <w:t xml:space="preserve"> titles.</w:t>
      </w:r>
      <w:r w:rsidR="00764358">
        <w:rPr>
          <w:rStyle w:val="FootnoteReference"/>
          <w:lang w:val="en-GB"/>
        </w:rPr>
        <w:footnoteReference w:id="16"/>
      </w:r>
      <w:r w:rsidR="006A69FB">
        <w:rPr>
          <w:lang w:val="en-GB"/>
        </w:rPr>
        <w:t xml:space="preserve"> Their reactions were largely mixed. Some of them approved of such</w:t>
      </w:r>
      <w:r w:rsidR="0013784D">
        <w:rPr>
          <w:lang w:val="en-GB"/>
        </w:rPr>
        <w:t xml:space="preserve"> titles, including the drafter, who stated that ‘</w:t>
      </w:r>
      <w:r w:rsidR="0013784D" w:rsidRPr="00241748">
        <w:rPr>
          <w:lang w:val="en-GB"/>
        </w:rPr>
        <w:t>it is legitimate to name a bill after either what it’s trying to stop or what it’s trying to achieve</w:t>
      </w:r>
      <w:r w:rsidR="0013784D">
        <w:rPr>
          <w:lang w:val="en-GB"/>
        </w:rPr>
        <w:t>’</w:t>
      </w:r>
      <w:r w:rsidR="0013784D" w:rsidRPr="00241748">
        <w:rPr>
          <w:lang w:val="en-GB"/>
        </w:rPr>
        <w:t>.</w:t>
      </w:r>
      <w:r w:rsidR="0013784D" w:rsidRPr="00241748">
        <w:rPr>
          <w:rStyle w:val="FootnoteReference"/>
          <w:lang w:val="en-GB"/>
        </w:rPr>
        <w:footnoteReference w:id="17"/>
      </w:r>
      <w:r w:rsidR="0013784D">
        <w:rPr>
          <w:lang w:val="en-GB"/>
        </w:rPr>
        <w:t xml:space="preserve"> He further noted that they previously could not use the word ‘reform’, but now it is used regularly. Others were in agreement that this practice was within proper bill titling procedures, noting that it was ‘</w:t>
      </w:r>
      <w:r w:rsidR="0013784D" w:rsidRPr="00241748">
        <w:rPr>
          <w:lang w:val="en-GB"/>
        </w:rPr>
        <w:t>not particularly objectionable</w:t>
      </w:r>
      <w:r w:rsidR="0013784D">
        <w:rPr>
          <w:lang w:val="en-GB"/>
        </w:rPr>
        <w:t>’;</w:t>
      </w:r>
      <w:r w:rsidR="0013784D" w:rsidRPr="00241748">
        <w:rPr>
          <w:rStyle w:val="FootnoteReference"/>
          <w:lang w:val="en-GB"/>
        </w:rPr>
        <w:footnoteReference w:id="18"/>
      </w:r>
      <w:r w:rsidR="0013784D">
        <w:rPr>
          <w:lang w:val="en-GB"/>
        </w:rPr>
        <w:t xml:space="preserve"> that ‘</w:t>
      </w:r>
      <w:r w:rsidR="0013784D" w:rsidRPr="00241748">
        <w:rPr>
          <w:lang w:val="en-GB"/>
        </w:rPr>
        <w:t xml:space="preserve">sometimes you might want to put a word in that indicates on which </w:t>
      </w:r>
      <w:r w:rsidR="0013784D" w:rsidRPr="00241748">
        <w:rPr>
          <w:lang w:val="en-GB"/>
        </w:rPr>
        <w:lastRenderedPageBreak/>
        <w:t>side of the argument the Act of Parliament is</w:t>
      </w:r>
      <w:r w:rsidR="0013784D">
        <w:rPr>
          <w:lang w:val="en-GB"/>
        </w:rPr>
        <w:t>’</w:t>
      </w:r>
      <w:r w:rsidR="0013784D" w:rsidRPr="00241748">
        <w:rPr>
          <w:lang w:val="en-GB"/>
        </w:rPr>
        <w:t xml:space="preserve"> on</w:t>
      </w:r>
      <w:r w:rsidR="0013784D">
        <w:rPr>
          <w:lang w:val="en-GB"/>
        </w:rPr>
        <w:t>;</w:t>
      </w:r>
      <w:r w:rsidR="0013784D" w:rsidRPr="00241748">
        <w:rPr>
          <w:rStyle w:val="FootnoteReference"/>
          <w:lang w:val="en-GB"/>
        </w:rPr>
        <w:footnoteReference w:id="19"/>
      </w:r>
      <w:r w:rsidR="0013784D">
        <w:rPr>
          <w:lang w:val="en-GB"/>
        </w:rPr>
        <w:t xml:space="preserve"> and that there is nothing ‘</w:t>
      </w:r>
      <w:r w:rsidR="0013784D" w:rsidRPr="00241748">
        <w:rPr>
          <w:lang w:val="en-GB"/>
        </w:rPr>
        <w:t>wrong with passing a piece of legislation expressing an ambition</w:t>
      </w:r>
      <w:r w:rsidR="0013784D">
        <w:rPr>
          <w:lang w:val="en-GB"/>
        </w:rPr>
        <w:t>’</w:t>
      </w:r>
      <w:r w:rsidR="0013784D" w:rsidRPr="00241748">
        <w:rPr>
          <w:lang w:val="en-GB"/>
        </w:rPr>
        <w:t>.</w:t>
      </w:r>
      <w:r w:rsidR="0013784D" w:rsidRPr="00241748">
        <w:rPr>
          <w:rStyle w:val="FootnoteReference"/>
          <w:lang w:val="en-GB"/>
        </w:rPr>
        <w:footnoteReference w:id="20"/>
      </w:r>
      <w:r w:rsidR="0013784D" w:rsidRPr="00241748">
        <w:rPr>
          <w:lang w:val="en-GB"/>
        </w:rPr>
        <w:t xml:space="preserve"> </w:t>
      </w:r>
    </w:p>
    <w:p w:rsidR="00624F93" w:rsidRDefault="00624F93" w:rsidP="003D7A82">
      <w:pPr>
        <w:pStyle w:val="NoSpacing"/>
        <w:spacing w:line="480" w:lineRule="auto"/>
        <w:ind w:firstLine="360"/>
        <w:jc w:val="both"/>
        <w:rPr>
          <w:lang w:val="en-GB"/>
        </w:rPr>
      </w:pPr>
      <w:r>
        <w:rPr>
          <w:lang w:val="en-GB"/>
        </w:rPr>
        <w:t xml:space="preserve">Other lawmakers had difficulties with such </w:t>
      </w:r>
      <w:r w:rsidR="00CE09F1">
        <w:rPr>
          <w:lang w:val="en-GB"/>
        </w:rPr>
        <w:t>wording</w:t>
      </w:r>
      <w:r>
        <w:rPr>
          <w:lang w:val="en-GB"/>
        </w:rPr>
        <w:t>. One called the use of such language ‘political window dressing’</w:t>
      </w:r>
      <w:r w:rsidR="00CE09F1">
        <w:rPr>
          <w:lang w:val="en-GB"/>
        </w:rPr>
        <w:t>,</w:t>
      </w:r>
      <w:r w:rsidRPr="00241748">
        <w:rPr>
          <w:rStyle w:val="FootnoteReference"/>
          <w:lang w:val="en-GB"/>
        </w:rPr>
        <w:footnoteReference w:id="21"/>
      </w:r>
      <w:r>
        <w:rPr>
          <w:lang w:val="en-GB"/>
        </w:rPr>
        <w:t xml:space="preserve"> </w:t>
      </w:r>
      <w:r w:rsidR="00CE09F1">
        <w:rPr>
          <w:lang w:val="en-GB"/>
        </w:rPr>
        <w:t>and other c</w:t>
      </w:r>
      <w:r>
        <w:rPr>
          <w:lang w:val="en-GB"/>
        </w:rPr>
        <w:t>olleagues noted that ‘</w:t>
      </w:r>
      <w:r w:rsidRPr="00241748">
        <w:rPr>
          <w:lang w:val="en-GB"/>
        </w:rPr>
        <w:t>there is a tendency to try to use words…to define what the bill is intended to do rather than what it does</w:t>
      </w:r>
      <w:r>
        <w:rPr>
          <w:lang w:val="en-GB"/>
        </w:rPr>
        <w:t>’,</w:t>
      </w:r>
      <w:r w:rsidRPr="00241748">
        <w:rPr>
          <w:rStyle w:val="FootnoteReference"/>
          <w:lang w:val="en-GB"/>
        </w:rPr>
        <w:footnoteReference w:id="22"/>
      </w:r>
      <w:r>
        <w:rPr>
          <w:lang w:val="en-GB"/>
        </w:rPr>
        <w:t xml:space="preserve"> and that ‘</w:t>
      </w:r>
      <w:r w:rsidRPr="00241748">
        <w:rPr>
          <w:lang w:val="en-GB"/>
        </w:rPr>
        <w:t>you’re implying the bill’s going to succeed before the bill actually becomes law</w:t>
      </w:r>
      <w:r>
        <w:rPr>
          <w:lang w:val="en-GB"/>
        </w:rPr>
        <w:t>’.</w:t>
      </w:r>
      <w:r w:rsidRPr="00241748">
        <w:rPr>
          <w:rStyle w:val="FootnoteReference"/>
          <w:lang w:val="en-GB"/>
        </w:rPr>
        <w:footnoteReference w:id="23"/>
      </w:r>
      <w:r>
        <w:rPr>
          <w:lang w:val="en-GB"/>
        </w:rPr>
        <w:t xml:space="preserve"> Further, the latter</w:t>
      </w:r>
      <w:r w:rsidR="003127E9">
        <w:rPr>
          <w:lang w:val="en-GB"/>
        </w:rPr>
        <w:t xml:space="preserve"> interviewee</w:t>
      </w:r>
      <w:r>
        <w:rPr>
          <w:lang w:val="en-GB"/>
        </w:rPr>
        <w:t xml:space="preserve"> referred to </w:t>
      </w:r>
      <w:r w:rsidR="003127E9">
        <w:rPr>
          <w:lang w:val="en-GB"/>
        </w:rPr>
        <w:t>such methods</w:t>
      </w:r>
      <w:r>
        <w:rPr>
          <w:lang w:val="en-GB"/>
        </w:rPr>
        <w:t xml:space="preserve"> as ‘populist’,</w:t>
      </w:r>
      <w:r>
        <w:rPr>
          <w:rStyle w:val="FootnoteReference"/>
          <w:lang w:val="en-GB"/>
        </w:rPr>
        <w:footnoteReference w:id="24"/>
      </w:r>
      <w:r>
        <w:rPr>
          <w:lang w:val="en-GB"/>
        </w:rPr>
        <w:t xml:space="preserve"> and another </w:t>
      </w:r>
      <w:r w:rsidR="00CE09F1">
        <w:rPr>
          <w:lang w:val="en-GB"/>
        </w:rPr>
        <w:t xml:space="preserve">colleague </w:t>
      </w:r>
      <w:r>
        <w:rPr>
          <w:lang w:val="en-GB"/>
        </w:rPr>
        <w:t xml:space="preserve">was suspicious of the </w:t>
      </w:r>
      <w:r w:rsidR="00047B67">
        <w:rPr>
          <w:lang w:val="en-GB"/>
        </w:rPr>
        <w:t xml:space="preserve">titles that suggest </w:t>
      </w:r>
      <w:r>
        <w:rPr>
          <w:lang w:val="en-GB"/>
        </w:rPr>
        <w:t>‘</w:t>
      </w:r>
      <w:r w:rsidRPr="00241748">
        <w:rPr>
          <w:lang w:val="en-GB"/>
        </w:rPr>
        <w:t>you’re a good boy if you supp</w:t>
      </w:r>
      <w:r>
        <w:rPr>
          <w:lang w:val="en-GB"/>
        </w:rPr>
        <w:t xml:space="preserve">ort </w:t>
      </w:r>
      <w:proofErr w:type="gramStart"/>
      <w:r>
        <w:rPr>
          <w:lang w:val="en-GB"/>
        </w:rPr>
        <w:t>it,</w:t>
      </w:r>
      <w:proofErr w:type="gramEnd"/>
      <w:r>
        <w:rPr>
          <w:lang w:val="en-GB"/>
        </w:rPr>
        <w:t xml:space="preserve"> you’re not if you don’t’</w:t>
      </w:r>
      <w:r w:rsidR="00047B67">
        <w:rPr>
          <w:lang w:val="en-GB"/>
        </w:rPr>
        <w:t>.</w:t>
      </w:r>
      <w:r w:rsidRPr="00241748">
        <w:rPr>
          <w:rStyle w:val="FootnoteReference"/>
          <w:lang w:val="en-GB"/>
        </w:rPr>
        <w:footnoteReference w:id="25"/>
      </w:r>
      <w:r>
        <w:rPr>
          <w:lang w:val="en-GB"/>
        </w:rPr>
        <w:t xml:space="preserve"> </w:t>
      </w:r>
      <w:r w:rsidR="00764358">
        <w:rPr>
          <w:lang w:val="en-GB"/>
        </w:rPr>
        <w:t>Another MP noted that using such language was ‘</w:t>
      </w:r>
      <w:r w:rsidR="00764358" w:rsidRPr="00241748">
        <w:rPr>
          <w:lang w:val="en-GB"/>
        </w:rPr>
        <w:t>setting yourself up to fail</w:t>
      </w:r>
      <w:r w:rsidR="00764358">
        <w:rPr>
          <w:lang w:val="en-GB"/>
        </w:rPr>
        <w:t xml:space="preserve">’, suggesting that anytime a piece of legislation even slightly </w:t>
      </w:r>
      <w:r w:rsidR="00CE09F1">
        <w:rPr>
          <w:lang w:val="en-GB"/>
        </w:rPr>
        <w:t>did not live up to expectations</w:t>
      </w:r>
      <w:r w:rsidR="00764358">
        <w:rPr>
          <w:lang w:val="en-GB"/>
        </w:rPr>
        <w:t>, Parliament would have to answer for it.</w:t>
      </w:r>
      <w:r w:rsidR="00764358">
        <w:rPr>
          <w:rStyle w:val="FootnoteReference"/>
          <w:lang w:val="en-GB"/>
        </w:rPr>
        <w:footnoteReference w:id="26"/>
      </w:r>
      <w:r w:rsidR="00764358">
        <w:rPr>
          <w:lang w:val="en-GB"/>
        </w:rPr>
        <w:t xml:space="preserve"> Thus, members of Parliament and drafters were divided on whether or not using such language is valid in lawmaking, as some viewed it as a </w:t>
      </w:r>
      <w:r w:rsidR="00CE09F1">
        <w:rPr>
          <w:lang w:val="en-GB"/>
        </w:rPr>
        <w:t>legitimate parliamentary tactic</w:t>
      </w:r>
      <w:r w:rsidR="00764358">
        <w:rPr>
          <w:lang w:val="en-GB"/>
        </w:rPr>
        <w:t xml:space="preserve"> while others found it unacceptable. </w:t>
      </w:r>
    </w:p>
    <w:p w:rsidR="00567BAA" w:rsidRDefault="00764358" w:rsidP="003D7A82">
      <w:pPr>
        <w:pStyle w:val="NoSpacing"/>
        <w:spacing w:line="480" w:lineRule="auto"/>
        <w:ind w:firstLine="360"/>
        <w:jc w:val="both"/>
        <w:rPr>
          <w:lang w:val="en-GB"/>
        </w:rPr>
      </w:pPr>
      <w:r>
        <w:rPr>
          <w:lang w:val="en-GB"/>
        </w:rPr>
        <w:t>T</w:t>
      </w:r>
      <w:r w:rsidR="00327BDB">
        <w:rPr>
          <w:lang w:val="en-GB"/>
        </w:rPr>
        <w:t xml:space="preserve">his article now examines the formal and informal rules and regulations in regard to short titles, and how they </w:t>
      </w:r>
      <w:r w:rsidR="003A2FCC">
        <w:rPr>
          <w:lang w:val="en-GB"/>
        </w:rPr>
        <w:t xml:space="preserve">currently </w:t>
      </w:r>
      <w:r w:rsidR="00327BDB">
        <w:rPr>
          <w:lang w:val="en-GB"/>
        </w:rPr>
        <w:t xml:space="preserve">aid in </w:t>
      </w:r>
      <w:r w:rsidR="00364C29">
        <w:rPr>
          <w:lang w:val="en-GB"/>
        </w:rPr>
        <w:t>confounding</w:t>
      </w:r>
      <w:r w:rsidR="00327BDB">
        <w:rPr>
          <w:lang w:val="en-GB"/>
        </w:rPr>
        <w:t xml:space="preserve"> both draft</w:t>
      </w:r>
      <w:r>
        <w:rPr>
          <w:lang w:val="en-GB"/>
        </w:rPr>
        <w:t>ers and others</w:t>
      </w:r>
      <w:r w:rsidR="00327BDB">
        <w:rPr>
          <w:lang w:val="en-GB"/>
        </w:rPr>
        <w:t xml:space="preserve">. </w:t>
      </w:r>
    </w:p>
    <w:p w:rsidR="00327BDB" w:rsidRPr="00010481" w:rsidRDefault="00327BDB" w:rsidP="00764358">
      <w:pPr>
        <w:pStyle w:val="NoSpacing"/>
        <w:spacing w:line="480" w:lineRule="auto"/>
        <w:ind w:firstLine="720"/>
        <w:rPr>
          <w:lang w:val="en-GB"/>
        </w:rPr>
      </w:pPr>
    </w:p>
    <w:p w:rsidR="003E67EB" w:rsidRDefault="00567BAA" w:rsidP="003E67EB">
      <w:pPr>
        <w:pStyle w:val="NoSpacing"/>
        <w:spacing w:line="480" w:lineRule="auto"/>
        <w:rPr>
          <w:lang w:val="en-GB"/>
        </w:rPr>
      </w:pPr>
      <w:r w:rsidRPr="00010481">
        <w:rPr>
          <w:rStyle w:val="apple-style-span"/>
          <w:rFonts w:ascii="Palatino Linotype" w:hAnsi="Palatino Linotype"/>
          <w:color w:val="000000"/>
          <w:sz w:val="28"/>
          <w:szCs w:val="28"/>
          <w:lang w:val="en-GB"/>
        </w:rPr>
        <w:t>Formal/Informal Rules or Policies on Short Titles</w:t>
      </w:r>
    </w:p>
    <w:p w:rsidR="0007328C" w:rsidRDefault="00344376" w:rsidP="0007328C">
      <w:pPr>
        <w:pStyle w:val="NoSpacing"/>
        <w:spacing w:line="480" w:lineRule="auto"/>
        <w:jc w:val="both"/>
        <w:rPr>
          <w:lang w:val="en-GB"/>
        </w:rPr>
      </w:pPr>
      <w:r>
        <w:rPr>
          <w:lang w:val="en-GB"/>
        </w:rPr>
        <w:lastRenderedPageBreak/>
        <w:t>F</w:t>
      </w:r>
      <w:r w:rsidR="00764358" w:rsidRPr="00010481">
        <w:rPr>
          <w:lang w:val="en-GB"/>
        </w:rPr>
        <w:t xml:space="preserve">or well over a century now </w:t>
      </w:r>
      <w:r>
        <w:rPr>
          <w:lang w:val="en-GB"/>
        </w:rPr>
        <w:t>Westminster</w:t>
      </w:r>
      <w:r w:rsidR="00764358" w:rsidRPr="00010481">
        <w:rPr>
          <w:lang w:val="en-GB"/>
        </w:rPr>
        <w:t xml:space="preserve"> has employed a team of lawyers to assist with the preparation and drafting of legislation. The Office of the Parliamentary Counsel (OPC) </w:t>
      </w:r>
      <w:r w:rsidR="00D344FC">
        <w:rPr>
          <w:lang w:val="en-GB"/>
        </w:rPr>
        <w:t>is responsible</w:t>
      </w:r>
      <w:r w:rsidR="00764358" w:rsidRPr="00010481">
        <w:rPr>
          <w:lang w:val="en-GB"/>
        </w:rPr>
        <w:t xml:space="preserve"> for the drafting, co-ord</w:t>
      </w:r>
      <w:r w:rsidR="0033244C">
        <w:rPr>
          <w:lang w:val="en-GB"/>
        </w:rPr>
        <w:t>ination and progress of all UK Government B</w:t>
      </w:r>
      <w:r w:rsidR="00764358" w:rsidRPr="00010481">
        <w:rPr>
          <w:lang w:val="en-GB"/>
        </w:rPr>
        <w:t>ills.</w:t>
      </w:r>
      <w:r w:rsidR="00E76298">
        <w:rPr>
          <w:rStyle w:val="FootnoteReference"/>
          <w:lang w:val="en-GB"/>
        </w:rPr>
        <w:footnoteReference w:id="27"/>
      </w:r>
      <w:r w:rsidR="00764358" w:rsidRPr="00010481">
        <w:rPr>
          <w:lang w:val="en-GB"/>
        </w:rPr>
        <w:t xml:space="preserve"> </w:t>
      </w:r>
      <w:r w:rsidR="00764358">
        <w:rPr>
          <w:lang w:val="en-GB"/>
        </w:rPr>
        <w:t>Yet o</w:t>
      </w:r>
      <w:r w:rsidR="00567BAA" w:rsidRPr="00010481">
        <w:rPr>
          <w:lang w:val="en-GB"/>
        </w:rPr>
        <w:t>nce a drafter is give</w:t>
      </w:r>
      <w:r w:rsidR="00FA50F0">
        <w:rPr>
          <w:lang w:val="en-GB"/>
        </w:rPr>
        <w:t>n the assignment of drafting a B</w:t>
      </w:r>
      <w:r w:rsidR="00943708">
        <w:rPr>
          <w:lang w:val="en-GB"/>
        </w:rPr>
        <w:t>ill,</w:t>
      </w:r>
      <w:r w:rsidR="00567BAA" w:rsidRPr="00010481">
        <w:rPr>
          <w:lang w:val="en-GB"/>
        </w:rPr>
        <w:t xml:space="preserve"> he or she will find little informa</w:t>
      </w:r>
      <w:r w:rsidR="00764358">
        <w:rPr>
          <w:lang w:val="en-GB"/>
        </w:rPr>
        <w:t>tion supplied by Westminster</w:t>
      </w:r>
      <w:r w:rsidR="00567BAA" w:rsidRPr="00010481">
        <w:rPr>
          <w:lang w:val="en-GB"/>
        </w:rPr>
        <w:t xml:space="preserve"> </w:t>
      </w:r>
      <w:r w:rsidR="00764358">
        <w:rPr>
          <w:lang w:val="en-GB"/>
        </w:rPr>
        <w:t xml:space="preserve">or the Parliamentary Counsel </w:t>
      </w:r>
      <w:r w:rsidR="00567BAA" w:rsidRPr="00010481">
        <w:rPr>
          <w:lang w:val="en-GB"/>
        </w:rPr>
        <w:t xml:space="preserve">in terms of official short title policies. </w:t>
      </w:r>
    </w:p>
    <w:p w:rsidR="00424996" w:rsidRDefault="004B1069" w:rsidP="0007328C">
      <w:pPr>
        <w:pStyle w:val="NoSpacing"/>
        <w:spacing w:line="480" w:lineRule="auto"/>
        <w:ind w:firstLine="360"/>
        <w:jc w:val="both"/>
        <w:rPr>
          <w:lang w:val="en-GB"/>
        </w:rPr>
      </w:pPr>
      <w:r>
        <w:rPr>
          <w:lang w:val="en-GB"/>
        </w:rPr>
        <w:t xml:space="preserve">Neither the </w:t>
      </w:r>
      <w:r w:rsidR="00C34E26">
        <w:rPr>
          <w:lang w:val="en-GB"/>
        </w:rPr>
        <w:t xml:space="preserve">Commons nor Lords </w:t>
      </w:r>
      <w:r>
        <w:rPr>
          <w:lang w:val="en-GB"/>
        </w:rPr>
        <w:t>standing orders make any mention of short titles.</w:t>
      </w:r>
      <w:r>
        <w:rPr>
          <w:rStyle w:val="FootnoteReference"/>
          <w:lang w:val="en-GB"/>
        </w:rPr>
        <w:footnoteReference w:id="28"/>
      </w:r>
      <w:r>
        <w:rPr>
          <w:lang w:val="en-GB"/>
        </w:rPr>
        <w:t xml:space="preserve"> </w:t>
      </w:r>
      <w:r w:rsidR="00567BAA" w:rsidRPr="00010481">
        <w:rPr>
          <w:lang w:val="en-GB"/>
        </w:rPr>
        <w:t xml:space="preserve">On the Parliamentary Counsel website there </w:t>
      </w:r>
      <w:r w:rsidR="00567BAA">
        <w:rPr>
          <w:lang w:val="en-GB"/>
        </w:rPr>
        <w:t>is</w:t>
      </w:r>
      <w:r w:rsidR="00567BAA" w:rsidRPr="00010481">
        <w:rPr>
          <w:lang w:val="en-GB"/>
        </w:rPr>
        <w:t xml:space="preserve"> </w:t>
      </w:r>
      <w:r w:rsidR="00C34E26">
        <w:rPr>
          <w:lang w:val="en-GB"/>
        </w:rPr>
        <w:t>no official</w:t>
      </w:r>
      <w:r w:rsidR="00764358">
        <w:rPr>
          <w:lang w:val="en-GB"/>
        </w:rPr>
        <w:t xml:space="preserve"> public bill drafting manual. In fact, there is</w:t>
      </w:r>
      <w:r w:rsidR="00567BAA">
        <w:rPr>
          <w:lang w:val="en-GB"/>
        </w:rPr>
        <w:t xml:space="preserve"> </w:t>
      </w:r>
      <w:r w:rsidR="00764358">
        <w:rPr>
          <w:lang w:val="en-GB"/>
        </w:rPr>
        <w:t xml:space="preserve">only </w:t>
      </w:r>
      <w:r w:rsidR="00567BAA">
        <w:rPr>
          <w:lang w:val="en-GB"/>
        </w:rPr>
        <w:t xml:space="preserve">one </w:t>
      </w:r>
      <w:r>
        <w:rPr>
          <w:lang w:val="en-GB"/>
        </w:rPr>
        <w:t xml:space="preserve">technical </w:t>
      </w:r>
      <w:r w:rsidR="00567BAA">
        <w:rPr>
          <w:lang w:val="en-GB"/>
        </w:rPr>
        <w:t>document in</w:t>
      </w:r>
      <w:r w:rsidR="00567BAA" w:rsidRPr="00010481">
        <w:rPr>
          <w:lang w:val="en-GB"/>
        </w:rPr>
        <w:t xml:space="preserve"> regar</w:t>
      </w:r>
      <w:r w:rsidR="00567BAA">
        <w:rPr>
          <w:lang w:val="en-GB"/>
        </w:rPr>
        <w:t xml:space="preserve">d to </w:t>
      </w:r>
      <w:r w:rsidR="00567BAA" w:rsidRPr="00010481">
        <w:rPr>
          <w:lang w:val="en-GB"/>
        </w:rPr>
        <w:t>drafting practices.</w:t>
      </w:r>
      <w:r w:rsidR="00567BAA" w:rsidRPr="00010481">
        <w:rPr>
          <w:rStyle w:val="FootnoteReference"/>
          <w:lang w:val="en-GB"/>
        </w:rPr>
        <w:footnoteReference w:id="29"/>
      </w:r>
      <w:r w:rsidR="00567BAA" w:rsidRPr="00010481">
        <w:rPr>
          <w:lang w:val="en-GB"/>
        </w:rPr>
        <w:t xml:space="preserve"> T</w:t>
      </w:r>
      <w:r w:rsidR="00764358">
        <w:rPr>
          <w:lang w:val="en-GB"/>
        </w:rPr>
        <w:t xml:space="preserve">his document </w:t>
      </w:r>
      <w:r w:rsidR="00567BAA" w:rsidRPr="00010481">
        <w:rPr>
          <w:lang w:val="en-GB"/>
        </w:rPr>
        <w:t>mentions short titles, but only to state that the wording used</w:t>
      </w:r>
      <w:r w:rsidR="00764358">
        <w:rPr>
          <w:lang w:val="en-GB"/>
        </w:rPr>
        <w:t xml:space="preserve"> to confer a short title on an A</w:t>
      </w:r>
      <w:r w:rsidR="00567BAA" w:rsidRPr="00010481">
        <w:rPr>
          <w:lang w:val="en-GB"/>
        </w:rPr>
        <w:t>ct is: ‘this Act may be cited as’.</w:t>
      </w:r>
      <w:r w:rsidR="00567BAA" w:rsidRPr="00010481">
        <w:rPr>
          <w:rStyle w:val="FootnoteReference"/>
          <w:lang w:val="en-GB"/>
        </w:rPr>
        <w:footnoteReference w:id="30"/>
      </w:r>
      <w:r w:rsidR="00567BAA" w:rsidRPr="00010481">
        <w:rPr>
          <w:lang w:val="en-GB"/>
        </w:rPr>
        <w:t xml:space="preserve"> </w:t>
      </w:r>
      <w:r w:rsidR="00424996">
        <w:rPr>
          <w:lang w:val="en-GB"/>
        </w:rPr>
        <w:t>Beside</w:t>
      </w:r>
      <w:r w:rsidR="00764358">
        <w:rPr>
          <w:lang w:val="en-GB"/>
        </w:rPr>
        <w:t>s</w:t>
      </w:r>
      <w:r w:rsidR="00A73041">
        <w:rPr>
          <w:lang w:val="en-GB"/>
        </w:rPr>
        <w:t xml:space="preserve"> this brief mention</w:t>
      </w:r>
      <w:r w:rsidR="00424996">
        <w:rPr>
          <w:lang w:val="en-GB"/>
        </w:rPr>
        <w:t xml:space="preserve">, the closest the document comes to </w:t>
      </w:r>
      <w:r w:rsidR="00764358">
        <w:rPr>
          <w:lang w:val="en-GB"/>
        </w:rPr>
        <w:t>providing any related guidance on titles is found in its ‘clarity’ section. Here it notes that a drafter must tell the story of the bill (or Act), because a ‘reader does not know what your message is until you deliver it’.</w:t>
      </w:r>
      <w:r w:rsidR="00764358">
        <w:rPr>
          <w:rStyle w:val="FootnoteReference"/>
          <w:lang w:val="en-GB"/>
        </w:rPr>
        <w:footnoteReference w:id="31"/>
      </w:r>
      <w:r w:rsidR="00764358">
        <w:rPr>
          <w:lang w:val="en-GB"/>
        </w:rPr>
        <w:t xml:space="preserve"> </w:t>
      </w:r>
      <w:r w:rsidR="00764358" w:rsidRPr="007C073A">
        <w:rPr>
          <w:lang w:val="en-GB"/>
        </w:rPr>
        <w:t xml:space="preserve">This is appropriate </w:t>
      </w:r>
      <w:r w:rsidR="00764358">
        <w:rPr>
          <w:lang w:val="en-GB"/>
        </w:rPr>
        <w:t>in relation to</w:t>
      </w:r>
      <w:r w:rsidR="00764358" w:rsidRPr="007C073A">
        <w:rPr>
          <w:lang w:val="en-GB"/>
        </w:rPr>
        <w:t xml:space="preserve"> the formal role of the </w:t>
      </w:r>
      <w:r w:rsidR="00943708">
        <w:rPr>
          <w:lang w:val="en-GB"/>
        </w:rPr>
        <w:t xml:space="preserve">short </w:t>
      </w:r>
      <w:r w:rsidR="00764358" w:rsidRPr="007C073A">
        <w:rPr>
          <w:lang w:val="en-GB"/>
        </w:rPr>
        <w:t>title</w:t>
      </w:r>
      <w:r w:rsidR="00764358">
        <w:rPr>
          <w:lang w:val="en-GB"/>
        </w:rPr>
        <w:t>, because such titles usually provide some description about what the measure is in reference to</w:t>
      </w:r>
      <w:r w:rsidR="00764358" w:rsidRPr="007C073A">
        <w:rPr>
          <w:lang w:val="en-GB"/>
        </w:rPr>
        <w:t>.</w:t>
      </w:r>
      <w:r w:rsidR="00764358">
        <w:rPr>
          <w:lang w:val="en-GB"/>
        </w:rPr>
        <w:t xml:space="preserve"> This section also notes that ‘different readers might be interested in different aspects of the story: for example, Ministers might be interested in how the Bill fits with a general policy’, and it further notes that ‘this may influence how you tell the story’.</w:t>
      </w:r>
      <w:r w:rsidR="00764358">
        <w:rPr>
          <w:rStyle w:val="FootnoteReference"/>
          <w:lang w:val="en-GB"/>
        </w:rPr>
        <w:footnoteReference w:id="32"/>
      </w:r>
      <w:r w:rsidR="00764358">
        <w:rPr>
          <w:lang w:val="en-GB"/>
        </w:rPr>
        <w:t xml:space="preserve"> </w:t>
      </w:r>
      <w:r w:rsidR="004453FA">
        <w:rPr>
          <w:lang w:val="en-GB"/>
        </w:rPr>
        <w:t xml:space="preserve">In relation to Ministers, as </w:t>
      </w:r>
      <w:r w:rsidR="00A73041">
        <w:rPr>
          <w:lang w:val="en-GB"/>
        </w:rPr>
        <w:t>discussed</w:t>
      </w:r>
      <w:r w:rsidR="004453FA">
        <w:rPr>
          <w:lang w:val="en-GB"/>
        </w:rPr>
        <w:t xml:space="preserve"> below, this statement may have relevance to short titles. </w:t>
      </w:r>
    </w:p>
    <w:p w:rsidR="00764358" w:rsidRDefault="00764358" w:rsidP="003D7A82">
      <w:pPr>
        <w:pStyle w:val="NoSpacing"/>
        <w:spacing w:line="480" w:lineRule="auto"/>
        <w:ind w:firstLine="360"/>
        <w:jc w:val="both"/>
        <w:rPr>
          <w:lang w:val="en-GB"/>
        </w:rPr>
      </w:pPr>
      <w:r>
        <w:rPr>
          <w:lang w:val="en-GB"/>
        </w:rPr>
        <w:lastRenderedPageBreak/>
        <w:t>A similar lack of short title discussion occurs in</w:t>
      </w:r>
      <w:r w:rsidR="00567BAA" w:rsidRPr="00010481">
        <w:rPr>
          <w:lang w:val="en-GB"/>
        </w:rPr>
        <w:t xml:space="preserve"> the </w:t>
      </w:r>
      <w:r>
        <w:rPr>
          <w:lang w:val="en-GB"/>
        </w:rPr>
        <w:t xml:space="preserve">recently declassified </w:t>
      </w:r>
      <w:r w:rsidR="00567BAA" w:rsidRPr="00010481">
        <w:rPr>
          <w:lang w:val="en-GB"/>
        </w:rPr>
        <w:t xml:space="preserve">Cabinet Office drafting guidelines. </w:t>
      </w:r>
      <w:r>
        <w:rPr>
          <w:lang w:val="en-GB"/>
        </w:rPr>
        <w:t xml:space="preserve">Section 9.31 begins by noting that </w:t>
      </w:r>
      <w:r w:rsidRPr="00010481">
        <w:rPr>
          <w:lang w:val="en-GB"/>
        </w:rPr>
        <w:t>‘</w:t>
      </w:r>
      <w:r w:rsidRPr="00010481">
        <w:rPr>
          <w:color w:val="000000"/>
          <w:shd w:val="clear" w:color="auto" w:fill="FFFFFF"/>
          <w:lang w:val="en-GB"/>
        </w:rPr>
        <w:t xml:space="preserve">Parliamentary Counsel will give the Bill </w:t>
      </w:r>
      <w:proofErr w:type="gramStart"/>
      <w:r w:rsidRPr="00010481">
        <w:rPr>
          <w:color w:val="000000"/>
          <w:shd w:val="clear" w:color="auto" w:fill="FFFFFF"/>
          <w:lang w:val="en-GB"/>
        </w:rPr>
        <w:t>its</w:t>
      </w:r>
      <w:proofErr w:type="gramEnd"/>
      <w:r w:rsidRPr="00010481">
        <w:rPr>
          <w:color w:val="000000"/>
          <w:shd w:val="clear" w:color="auto" w:fill="FFFFFF"/>
          <w:lang w:val="en-GB"/>
        </w:rPr>
        <w:t xml:space="preserve"> short and long titles</w:t>
      </w:r>
      <w:r w:rsidRPr="00010481">
        <w:rPr>
          <w:lang w:val="en-GB"/>
        </w:rPr>
        <w:t>’.</w:t>
      </w:r>
      <w:r w:rsidRPr="00010481">
        <w:rPr>
          <w:rStyle w:val="FootnoteReference"/>
          <w:lang w:val="en-GB"/>
        </w:rPr>
        <w:footnoteReference w:id="33"/>
      </w:r>
      <w:r>
        <w:rPr>
          <w:lang w:val="en-GB"/>
        </w:rPr>
        <w:t xml:space="preserve"> </w:t>
      </w:r>
      <w:r w:rsidR="005418D8">
        <w:rPr>
          <w:lang w:val="en-GB"/>
        </w:rPr>
        <w:t xml:space="preserve">They also state in </w:t>
      </w:r>
      <w:r w:rsidR="00096E54">
        <w:rPr>
          <w:lang w:val="en-GB"/>
        </w:rPr>
        <w:t>this section</w:t>
      </w:r>
      <w:r w:rsidR="005418D8">
        <w:rPr>
          <w:lang w:val="en-GB"/>
        </w:rPr>
        <w:t xml:space="preserve"> that</w:t>
      </w:r>
      <w:r w:rsidR="00567BAA" w:rsidRPr="00010481">
        <w:rPr>
          <w:lang w:val="en-GB"/>
        </w:rPr>
        <w:t xml:space="preserve"> the ‘long title is of importance’, while they do not elaborate on short title significance at all.</w:t>
      </w:r>
      <w:r w:rsidR="00567BAA" w:rsidRPr="00010481">
        <w:rPr>
          <w:rStyle w:val="FootnoteReference"/>
          <w:lang w:val="en-GB"/>
        </w:rPr>
        <w:footnoteReference w:id="34"/>
      </w:r>
      <w:r w:rsidRPr="00010481">
        <w:rPr>
          <w:lang w:val="en-GB"/>
        </w:rPr>
        <w:t xml:space="preserve"> However, </w:t>
      </w:r>
      <w:r w:rsidR="005418D8">
        <w:rPr>
          <w:lang w:val="en-GB"/>
        </w:rPr>
        <w:t>both of these</w:t>
      </w:r>
      <w:r w:rsidR="00567BAA">
        <w:rPr>
          <w:lang w:val="en-GB"/>
        </w:rPr>
        <w:t xml:space="preserve"> statement</w:t>
      </w:r>
      <w:r w:rsidR="005418D8">
        <w:rPr>
          <w:lang w:val="en-GB"/>
        </w:rPr>
        <w:t>s seem to be</w:t>
      </w:r>
      <w:r w:rsidR="00567BAA">
        <w:rPr>
          <w:lang w:val="en-GB"/>
        </w:rPr>
        <w:t xml:space="preserve"> refuted </w:t>
      </w:r>
      <w:r>
        <w:rPr>
          <w:lang w:val="en-GB"/>
        </w:rPr>
        <w:t>in section</w:t>
      </w:r>
      <w:r w:rsidR="00567BAA">
        <w:rPr>
          <w:lang w:val="en-GB"/>
        </w:rPr>
        <w:t xml:space="preserve"> 9.35, a</w:t>
      </w:r>
      <w:r>
        <w:rPr>
          <w:lang w:val="en-GB"/>
        </w:rPr>
        <w:t>s it is noted</w:t>
      </w:r>
      <w:r w:rsidR="00567BAA">
        <w:rPr>
          <w:lang w:val="en-GB"/>
        </w:rPr>
        <w:t xml:space="preserve"> that</w:t>
      </w:r>
      <w:r w:rsidR="00567BAA" w:rsidRPr="00800406">
        <w:rPr>
          <w:lang w:val="en-GB"/>
        </w:rPr>
        <w:t xml:space="preserve"> </w:t>
      </w:r>
      <w:r w:rsidR="00567BAA">
        <w:rPr>
          <w:lang w:val="en-GB"/>
        </w:rPr>
        <w:t>‘</w:t>
      </w:r>
      <w:r w:rsidR="00567BAA" w:rsidRPr="00800406">
        <w:rPr>
          <w:lang w:val="en-GB"/>
        </w:rPr>
        <w:t>The Bill Minister is likely to take a particular interest in the short title given possible presentation issues.</w:t>
      </w:r>
      <w:r w:rsidR="00567BAA">
        <w:rPr>
          <w:lang w:val="en-GB"/>
        </w:rPr>
        <w:t>’</w:t>
      </w:r>
      <w:r w:rsidR="00567BAA">
        <w:rPr>
          <w:rStyle w:val="FootnoteReference"/>
          <w:lang w:val="en-GB"/>
        </w:rPr>
        <w:footnoteReference w:id="35"/>
      </w:r>
      <w:r w:rsidR="00567BAA">
        <w:rPr>
          <w:lang w:val="en-GB"/>
        </w:rPr>
        <w:t xml:space="preserve"> </w:t>
      </w:r>
      <w:r>
        <w:rPr>
          <w:lang w:val="en-GB"/>
        </w:rPr>
        <w:t>Thus, in a matter of a few paragraph</w:t>
      </w:r>
      <w:r w:rsidR="005A08B5">
        <w:rPr>
          <w:lang w:val="en-GB"/>
        </w:rPr>
        <w:t>s</w:t>
      </w:r>
      <w:r>
        <w:rPr>
          <w:lang w:val="en-GB"/>
        </w:rPr>
        <w:t>, the Guidelines contradict th</w:t>
      </w:r>
      <w:r w:rsidR="0036788F">
        <w:rPr>
          <w:lang w:val="en-GB"/>
        </w:rPr>
        <w:t>emselves twice: (1)</w:t>
      </w:r>
      <w:r>
        <w:rPr>
          <w:lang w:val="en-GB"/>
        </w:rPr>
        <w:t xml:space="preserve"> by not acknowledging in section 9.31 that </w:t>
      </w:r>
      <w:r w:rsidR="0036788F">
        <w:rPr>
          <w:lang w:val="en-GB"/>
        </w:rPr>
        <w:t>the Minist</w:t>
      </w:r>
      <w:r w:rsidR="00DF47F2">
        <w:rPr>
          <w:lang w:val="en-GB"/>
        </w:rPr>
        <w:t xml:space="preserve">er responsible for the Bill </w:t>
      </w:r>
      <w:r w:rsidR="0000651C">
        <w:rPr>
          <w:lang w:val="en-GB"/>
        </w:rPr>
        <w:t xml:space="preserve">is </w:t>
      </w:r>
      <w:r w:rsidR="00DF47F2">
        <w:rPr>
          <w:lang w:val="en-GB"/>
        </w:rPr>
        <w:t>granted short title input</w:t>
      </w:r>
      <w:r w:rsidR="00096E54">
        <w:rPr>
          <w:lang w:val="en-GB"/>
        </w:rPr>
        <w:t>; and (2) and in 9.31,</w:t>
      </w:r>
      <w:r w:rsidR="0036788F">
        <w:rPr>
          <w:lang w:val="en-GB"/>
        </w:rPr>
        <w:t xml:space="preserve"> by not acknowledging that the short bill title also bears significance, even if only from a presentational standpoint. </w:t>
      </w:r>
      <w:r>
        <w:rPr>
          <w:lang w:val="en-GB"/>
        </w:rPr>
        <w:t xml:space="preserve">The statement regarding Ministers and short titles in 9.35 is not elaborated on at all, and it is not particularly clear if the Minister has ultimate responsibility for the short title, or if they can merely make short title recommendations. </w:t>
      </w:r>
    </w:p>
    <w:p w:rsidR="00764358" w:rsidRPr="00010481" w:rsidRDefault="0036788F" w:rsidP="003D7A82">
      <w:pPr>
        <w:pStyle w:val="NoSpacing"/>
        <w:spacing w:line="480" w:lineRule="auto"/>
        <w:ind w:firstLine="360"/>
        <w:jc w:val="both"/>
        <w:rPr>
          <w:lang w:val="en-GB"/>
        </w:rPr>
      </w:pPr>
      <w:r>
        <w:rPr>
          <w:lang w:val="en-GB"/>
        </w:rPr>
        <w:t xml:space="preserve">The first error </w:t>
      </w:r>
      <w:r w:rsidR="00764358">
        <w:rPr>
          <w:lang w:val="en-GB"/>
        </w:rPr>
        <w:t>mentioned above in regard to who is ultimately respon</w:t>
      </w:r>
      <w:r w:rsidR="007D5731">
        <w:rPr>
          <w:lang w:val="en-GB"/>
        </w:rPr>
        <w:t xml:space="preserve">sible for drafting short titles </w:t>
      </w:r>
      <w:r>
        <w:rPr>
          <w:lang w:val="en-GB"/>
        </w:rPr>
        <w:t xml:space="preserve">is refuted by other legislative texts. </w:t>
      </w:r>
      <w:r w:rsidR="00764358" w:rsidRPr="00010481">
        <w:rPr>
          <w:lang w:val="en-GB"/>
        </w:rPr>
        <w:t>Greenberg acknowledges</w:t>
      </w:r>
      <w:r>
        <w:rPr>
          <w:lang w:val="en-GB"/>
        </w:rPr>
        <w:t xml:space="preserve"> that</w:t>
      </w:r>
      <w:r w:rsidR="00764358" w:rsidRPr="00010481">
        <w:rPr>
          <w:lang w:val="en-GB"/>
        </w:rPr>
        <w:t xml:space="preserve"> ‘Sometimes it [the short title] is discussed with the Department with principal responsibility for the Bill, and sometimes aspects of it are discussed with the House authorities’; but the passage goes on to demonstrate that misconceptions have arisen in r</w:t>
      </w:r>
      <w:r w:rsidR="00764358">
        <w:rPr>
          <w:lang w:val="en-GB"/>
        </w:rPr>
        <w:t>egard to short titles</w:t>
      </w:r>
      <w:r w:rsidR="00764358" w:rsidRPr="00010481">
        <w:rPr>
          <w:lang w:val="en-GB"/>
        </w:rPr>
        <w:t>, noting that ‘the Parliamentary Under-Secretary in the Home Office said of the Disqualifications Bill 1999-2000, “The title of the Bill is a matter for parliamentary draftsmen; Ministers have not been involved in decisions of that kind”’.</w:t>
      </w:r>
      <w:r w:rsidR="00764358" w:rsidRPr="00010481">
        <w:rPr>
          <w:rStyle w:val="FootnoteReference"/>
          <w:lang w:val="en-GB"/>
        </w:rPr>
        <w:footnoteReference w:id="36"/>
      </w:r>
      <w:r w:rsidR="003D7A82">
        <w:rPr>
          <w:lang w:val="en-GB"/>
        </w:rPr>
        <w:t xml:space="preserve"> Greenberg</w:t>
      </w:r>
      <w:r w:rsidR="00764358" w:rsidRPr="00010481">
        <w:rPr>
          <w:lang w:val="en-GB"/>
        </w:rPr>
        <w:t xml:space="preserve"> </w:t>
      </w:r>
      <w:r w:rsidR="00764358">
        <w:rPr>
          <w:lang w:val="en-GB"/>
        </w:rPr>
        <w:t xml:space="preserve">further </w:t>
      </w:r>
      <w:r w:rsidR="00764358" w:rsidRPr="00010481">
        <w:rPr>
          <w:lang w:val="en-GB"/>
        </w:rPr>
        <w:t xml:space="preserve">declares that the understanding that </w:t>
      </w:r>
      <w:r w:rsidR="00764358" w:rsidRPr="00010481">
        <w:rPr>
          <w:lang w:val="en-GB"/>
        </w:rPr>
        <w:lastRenderedPageBreak/>
        <w:t>drafters bear this responsibility ‘has become considerably eroded throughout the years’, and Ministers and others now have a larger input into such matters.</w:t>
      </w:r>
      <w:r w:rsidR="00764358" w:rsidRPr="00010481">
        <w:rPr>
          <w:rStyle w:val="FootnoteReference"/>
          <w:lang w:val="en-GB"/>
        </w:rPr>
        <w:footnoteReference w:id="37"/>
      </w:r>
      <w:r w:rsidR="00764358" w:rsidRPr="00010481">
        <w:rPr>
          <w:lang w:val="en-GB"/>
        </w:rPr>
        <w:t xml:space="preserve"> In accordance with Greenberg’s above statement</w:t>
      </w:r>
      <w:r w:rsidR="00764358">
        <w:rPr>
          <w:lang w:val="en-GB"/>
        </w:rPr>
        <w:t>s</w:t>
      </w:r>
      <w:r w:rsidR="00764358" w:rsidRPr="00010481">
        <w:rPr>
          <w:lang w:val="en-GB"/>
        </w:rPr>
        <w:t xml:space="preserve">, my </w:t>
      </w:r>
      <w:r w:rsidR="00764358">
        <w:rPr>
          <w:lang w:val="en-GB"/>
        </w:rPr>
        <w:t xml:space="preserve">doctoral </w:t>
      </w:r>
      <w:r w:rsidR="00764358" w:rsidRPr="00010481">
        <w:rPr>
          <w:lang w:val="en-GB"/>
        </w:rPr>
        <w:t xml:space="preserve">research </w:t>
      </w:r>
      <w:r w:rsidR="00764358">
        <w:rPr>
          <w:lang w:val="en-GB"/>
        </w:rPr>
        <w:t xml:space="preserve">also </w:t>
      </w:r>
      <w:r w:rsidR="00764358" w:rsidRPr="00010481">
        <w:rPr>
          <w:lang w:val="en-GB"/>
        </w:rPr>
        <w:t>disputes this claim by the Parliamentary Under-Secretary</w:t>
      </w:r>
      <w:r>
        <w:rPr>
          <w:lang w:val="en-GB"/>
        </w:rPr>
        <w:t xml:space="preserve">. </w:t>
      </w:r>
    </w:p>
    <w:p w:rsidR="00C26B8F" w:rsidRDefault="00764358" w:rsidP="003D7A82">
      <w:pPr>
        <w:pStyle w:val="NoSpacing"/>
        <w:spacing w:line="480" w:lineRule="auto"/>
        <w:ind w:firstLine="360"/>
        <w:jc w:val="both"/>
        <w:rPr>
          <w:lang w:val="en-GB"/>
        </w:rPr>
      </w:pPr>
      <w:r w:rsidRPr="00010481">
        <w:rPr>
          <w:i/>
          <w:lang w:val="en-GB"/>
        </w:rPr>
        <w:t>Erskine May’s Parliamentary Practice</w:t>
      </w:r>
      <w:r w:rsidRPr="00010481">
        <w:rPr>
          <w:lang w:val="en-GB"/>
        </w:rPr>
        <w:t xml:space="preserve"> is the main UK authority on legislative proceedings, and states that the titles of bills must ‘describe the bill in a straightforwardly factual manner. An argumentative title or slogan is not permitted’.</w:t>
      </w:r>
      <w:r w:rsidRPr="00010481">
        <w:rPr>
          <w:rStyle w:val="FootnoteReference"/>
          <w:lang w:val="en-GB"/>
        </w:rPr>
        <w:footnoteReference w:id="38"/>
      </w:r>
      <w:r w:rsidRPr="00010481">
        <w:rPr>
          <w:lang w:val="en-GB"/>
        </w:rPr>
        <w:t xml:space="preserve"> The footnote</w:t>
      </w:r>
      <w:r>
        <w:rPr>
          <w:lang w:val="en-GB"/>
        </w:rPr>
        <w:t xml:space="preserve"> to this passage</w:t>
      </w:r>
      <w:r w:rsidRPr="00010481">
        <w:rPr>
          <w:lang w:val="en-GB"/>
        </w:rPr>
        <w:t xml:space="preserve"> states that this standard was determined in a private ruling by the Speaker on ‘16 October 2001, that “Women’s Representation Bill” was not an appropriate title for a bill about sex discrimination in the selection of election candidates. Other proposed titles which have given rise to objection have included “Fairness at Work”, “Modernisation of Justice”, “Safe Communities” and “Constitutional Renewal”’.</w:t>
      </w:r>
      <w:r>
        <w:rPr>
          <w:rStyle w:val="FootnoteReference"/>
          <w:lang w:val="en-GB"/>
        </w:rPr>
        <w:footnoteReference w:id="39"/>
      </w:r>
      <w:r w:rsidR="00E76298">
        <w:rPr>
          <w:lang w:val="en-GB"/>
        </w:rPr>
        <w:t xml:space="preserve"> E</w:t>
      </w:r>
      <w:r w:rsidRPr="00010481">
        <w:rPr>
          <w:lang w:val="en-GB"/>
        </w:rPr>
        <w:t xml:space="preserve">arlier </w:t>
      </w:r>
      <w:r>
        <w:rPr>
          <w:lang w:val="en-GB"/>
        </w:rPr>
        <w:t xml:space="preserve">in </w:t>
      </w:r>
      <w:r w:rsidRPr="00010481">
        <w:rPr>
          <w:lang w:val="en-GB"/>
        </w:rPr>
        <w:t xml:space="preserve">the text </w:t>
      </w:r>
      <w:r>
        <w:rPr>
          <w:lang w:val="en-GB"/>
        </w:rPr>
        <w:t xml:space="preserve">it </w:t>
      </w:r>
      <w:r w:rsidRPr="00010481">
        <w:rPr>
          <w:lang w:val="en-GB"/>
        </w:rPr>
        <w:t>notes that ‘Speaker’s rulings constitute precedents by which subsequent Speakers, Members, and officers are guided...Such precedents are noted and in course of time may be formulated as principles or rules of practice. They are an important source of determining how the House conducts its business’.</w:t>
      </w:r>
      <w:r w:rsidRPr="00010481">
        <w:rPr>
          <w:rStyle w:val="FootnoteReference"/>
          <w:lang w:val="en-GB"/>
        </w:rPr>
        <w:footnoteReference w:id="40"/>
      </w:r>
      <w:r w:rsidRPr="00010481">
        <w:rPr>
          <w:lang w:val="en-GB"/>
        </w:rPr>
        <w:t xml:space="preserve"> It also notes that ‘Such private rulings of the Speaker generally settle the questions at issue, but they may, if necessary, be supplemented by rulings given from the Chair’.</w:t>
      </w:r>
      <w:r w:rsidRPr="00010481">
        <w:rPr>
          <w:rStyle w:val="FootnoteReference"/>
          <w:lang w:val="en-GB"/>
        </w:rPr>
        <w:footnoteReference w:id="41"/>
      </w:r>
      <w:r w:rsidRPr="00010481">
        <w:rPr>
          <w:lang w:val="en-GB"/>
        </w:rPr>
        <w:t xml:space="preserve"> It is interesting to note that the 23</w:t>
      </w:r>
      <w:r w:rsidRPr="00010481">
        <w:rPr>
          <w:vertAlign w:val="superscript"/>
          <w:lang w:val="en-GB"/>
        </w:rPr>
        <w:t>rd</w:t>
      </w:r>
      <w:r w:rsidRPr="00010481">
        <w:rPr>
          <w:lang w:val="en-GB"/>
        </w:rPr>
        <w:t xml:space="preserve"> edition of </w:t>
      </w:r>
      <w:r w:rsidRPr="00010481">
        <w:rPr>
          <w:i/>
          <w:lang w:val="en-GB"/>
        </w:rPr>
        <w:t>Erskine May</w:t>
      </w:r>
      <w:r w:rsidR="00E76298">
        <w:rPr>
          <w:lang w:val="en-GB"/>
        </w:rPr>
        <w:t xml:space="preserve"> (2004) </w:t>
      </w:r>
      <w:r w:rsidRPr="00010481">
        <w:rPr>
          <w:lang w:val="en-GB"/>
        </w:rPr>
        <w:t xml:space="preserve">did not include </w:t>
      </w:r>
      <w:r w:rsidRPr="00010481">
        <w:rPr>
          <w:lang w:val="en-GB"/>
        </w:rPr>
        <w:lastRenderedPageBreak/>
        <w:t>the above quoted passages in relation to bill titles, even though the Speaker’s private ruling on titles was apparently adjudicated in 2001.</w:t>
      </w:r>
      <w:r w:rsidRPr="00010481">
        <w:rPr>
          <w:rStyle w:val="FootnoteReference"/>
          <w:lang w:val="en-GB"/>
        </w:rPr>
        <w:footnoteReference w:id="42"/>
      </w:r>
      <w:r w:rsidRPr="00010481">
        <w:rPr>
          <w:lang w:val="en-GB"/>
        </w:rPr>
        <w:t xml:space="preserve"> </w:t>
      </w:r>
    </w:p>
    <w:p w:rsidR="005367C0" w:rsidRDefault="00764358" w:rsidP="003D7A82">
      <w:pPr>
        <w:pStyle w:val="NoSpacing"/>
        <w:spacing w:line="480" w:lineRule="auto"/>
        <w:ind w:firstLine="360"/>
        <w:jc w:val="both"/>
        <w:rPr>
          <w:lang w:val="en-GB"/>
        </w:rPr>
      </w:pPr>
      <w:r>
        <w:rPr>
          <w:lang w:val="en-GB"/>
        </w:rPr>
        <w:t>Thus</w:t>
      </w:r>
      <w:r w:rsidR="00306AC4">
        <w:rPr>
          <w:lang w:val="en-GB"/>
        </w:rPr>
        <w:t xml:space="preserve">, </w:t>
      </w:r>
      <w:r w:rsidR="001D2940">
        <w:rPr>
          <w:lang w:val="en-GB"/>
        </w:rPr>
        <w:t xml:space="preserve">according to the latest </w:t>
      </w:r>
      <w:r w:rsidR="001D2940" w:rsidRPr="001D2940">
        <w:rPr>
          <w:i/>
          <w:lang w:val="en-GB"/>
        </w:rPr>
        <w:t>Erskine May</w:t>
      </w:r>
      <w:r w:rsidR="001D2940">
        <w:rPr>
          <w:lang w:val="en-GB"/>
        </w:rPr>
        <w:t xml:space="preserve">, </w:t>
      </w:r>
      <w:r w:rsidR="00306AC4">
        <w:rPr>
          <w:lang w:val="en-GB"/>
        </w:rPr>
        <w:t>any controversy over short bill titles in Westminster is settled, correct? No</w:t>
      </w:r>
      <w:r>
        <w:rPr>
          <w:lang w:val="en-GB"/>
        </w:rPr>
        <w:t>t</w:t>
      </w:r>
      <w:r w:rsidR="00306AC4">
        <w:rPr>
          <w:lang w:val="en-GB"/>
        </w:rPr>
        <w:t xml:space="preserve"> quite. I</w:t>
      </w:r>
      <w:r w:rsidR="0036788F" w:rsidRPr="00010481">
        <w:rPr>
          <w:lang w:val="en-GB"/>
        </w:rPr>
        <w:t>n a new book on Westminster Parliament legislative processes, Greenberg notes that ‘it is far from clear whether even the Speaker has the power to intervene formally to prevent a short title of which he or she disapproves on the grounds of propaganda’.</w:t>
      </w:r>
      <w:r w:rsidR="0036788F" w:rsidRPr="00010481">
        <w:rPr>
          <w:rStyle w:val="FootnoteReference"/>
          <w:lang w:val="en-GB"/>
        </w:rPr>
        <w:footnoteReference w:id="43"/>
      </w:r>
      <w:r w:rsidR="0036788F" w:rsidRPr="00010481">
        <w:rPr>
          <w:lang w:val="en-GB"/>
        </w:rPr>
        <w:t xml:space="preserve"> This </w:t>
      </w:r>
      <w:r>
        <w:rPr>
          <w:lang w:val="en-GB"/>
        </w:rPr>
        <w:t xml:space="preserve">statement </w:t>
      </w:r>
      <w:r w:rsidR="0036788F" w:rsidRPr="00010481">
        <w:rPr>
          <w:lang w:val="en-GB"/>
        </w:rPr>
        <w:t xml:space="preserve">expressly contrasts with the latest edition of </w:t>
      </w:r>
      <w:r w:rsidR="0036788F" w:rsidRPr="00010481">
        <w:rPr>
          <w:i/>
          <w:lang w:val="en-GB"/>
        </w:rPr>
        <w:t>Erskine May</w:t>
      </w:r>
      <w:r w:rsidR="0036788F" w:rsidRPr="00010481">
        <w:rPr>
          <w:lang w:val="en-GB"/>
        </w:rPr>
        <w:t xml:space="preserve">. </w:t>
      </w:r>
    </w:p>
    <w:p w:rsidR="008237B8" w:rsidRDefault="005367C0" w:rsidP="00007B3D">
      <w:pPr>
        <w:pStyle w:val="NoSpacing"/>
        <w:spacing w:line="480" w:lineRule="auto"/>
        <w:ind w:firstLine="360"/>
        <w:jc w:val="both"/>
        <w:rPr>
          <w:lang w:val="en-GB"/>
        </w:rPr>
      </w:pPr>
      <w:r w:rsidRPr="00010481">
        <w:rPr>
          <w:lang w:val="en-GB"/>
        </w:rPr>
        <w:t xml:space="preserve">Greenberg further states that when ‘Minsters are determined to exert their fullest </w:t>
      </w:r>
      <w:proofErr w:type="gramStart"/>
      <w:r w:rsidRPr="00010481">
        <w:rPr>
          <w:lang w:val="en-GB"/>
        </w:rPr>
        <w:t>influence,</w:t>
      </w:r>
      <w:proofErr w:type="gramEnd"/>
      <w:r w:rsidRPr="00010481">
        <w:rPr>
          <w:lang w:val="en-GB"/>
        </w:rPr>
        <w:t xml:space="preserve"> there is nothing to stop them from doing as they like. If a Minister directs the drafter to exclude particular materials, or to phrase things in a particular way, the drafter has ultimately no choice but to comply’.</w:t>
      </w:r>
      <w:r w:rsidRPr="00010481">
        <w:rPr>
          <w:rStyle w:val="FootnoteReference"/>
          <w:lang w:val="en-GB"/>
        </w:rPr>
        <w:footnoteReference w:id="44"/>
      </w:r>
      <w:r w:rsidRPr="00010481">
        <w:rPr>
          <w:lang w:val="en-GB"/>
        </w:rPr>
        <w:t xml:space="preserve"> He does note that drafters can appeal to higher authorities, such as the Law Officers, but ‘once Ministers have taken a decision as an appropriate exercise of collective responsibility, the drafter has no further recourse’.</w:t>
      </w:r>
      <w:r w:rsidRPr="00010481">
        <w:rPr>
          <w:rStyle w:val="FootnoteReference"/>
          <w:lang w:val="en-GB"/>
        </w:rPr>
        <w:footnoteReference w:id="45"/>
      </w:r>
      <w:r w:rsidRPr="00010481">
        <w:rPr>
          <w:lang w:val="en-GB"/>
        </w:rPr>
        <w:t xml:space="preserve"> </w:t>
      </w:r>
    </w:p>
    <w:p w:rsidR="00C26B8F" w:rsidRDefault="008237B8" w:rsidP="00007B3D">
      <w:pPr>
        <w:pStyle w:val="NoSpacing"/>
        <w:spacing w:line="480" w:lineRule="auto"/>
        <w:ind w:firstLine="360"/>
        <w:jc w:val="both"/>
        <w:rPr>
          <w:lang w:val="en-GB"/>
        </w:rPr>
      </w:pPr>
      <w:r>
        <w:rPr>
          <w:lang w:val="en-GB"/>
        </w:rPr>
        <w:t xml:space="preserve">House authorities and others also have </w:t>
      </w:r>
      <w:r w:rsidR="008F0D57">
        <w:rPr>
          <w:lang w:val="en-GB"/>
        </w:rPr>
        <w:t xml:space="preserve">relatively </w:t>
      </w:r>
      <w:r>
        <w:rPr>
          <w:lang w:val="en-GB"/>
        </w:rPr>
        <w:t xml:space="preserve">limited recourse. </w:t>
      </w:r>
      <w:r w:rsidR="00F91982">
        <w:rPr>
          <w:lang w:val="en-GB"/>
        </w:rPr>
        <w:t>A dispute between Ministers and House Authorities over a controversial title</w:t>
      </w:r>
      <w:r w:rsidR="00764358" w:rsidRPr="00010481">
        <w:rPr>
          <w:lang w:val="en-GB"/>
        </w:rPr>
        <w:t xml:space="preserve"> </w:t>
      </w:r>
      <w:r w:rsidR="00F91982">
        <w:rPr>
          <w:lang w:val="en-GB"/>
        </w:rPr>
        <w:t>would likely become one</w:t>
      </w:r>
      <w:r w:rsidR="00764358" w:rsidRPr="00010481">
        <w:rPr>
          <w:lang w:val="en-GB"/>
        </w:rPr>
        <w:t xml:space="preserve"> of ‘brinksmanship’ regarding who will relent first, and this yielding largely depends on the individuals involved.</w:t>
      </w:r>
      <w:r w:rsidR="00764358" w:rsidRPr="00010481">
        <w:rPr>
          <w:rStyle w:val="FootnoteReference"/>
          <w:lang w:val="en-GB"/>
        </w:rPr>
        <w:footnoteReference w:id="46"/>
      </w:r>
      <w:r w:rsidR="00764358" w:rsidRPr="00010481">
        <w:rPr>
          <w:lang w:val="en-GB"/>
        </w:rPr>
        <w:t xml:space="preserve"> </w:t>
      </w:r>
      <w:r w:rsidR="00007B3D">
        <w:rPr>
          <w:lang w:val="en-GB"/>
        </w:rPr>
        <w:t>If the clerks have a problem with a particular title, they can ask for a ruling by the Speaker. Yet such rulings, especially private rulings, are not formalised powers which can enforce a prohibition on argumentative titles or slogans.</w:t>
      </w:r>
      <w:r w:rsidR="008F0D57">
        <w:rPr>
          <w:lang w:val="en-GB"/>
        </w:rPr>
        <w:t xml:space="preserve"> It is Parliamentary custom </w:t>
      </w:r>
      <w:r w:rsidR="008F0D57">
        <w:rPr>
          <w:lang w:val="en-GB"/>
        </w:rPr>
        <w:lastRenderedPageBreak/>
        <w:t>to defer to the Speaker in regard to such matters; but it is not</w:t>
      </w:r>
      <w:r>
        <w:rPr>
          <w:lang w:val="en-GB"/>
        </w:rPr>
        <w:t xml:space="preserve"> </w:t>
      </w:r>
      <w:r w:rsidR="008F0D57">
        <w:rPr>
          <w:lang w:val="en-GB"/>
        </w:rPr>
        <w:t>dictum.</w:t>
      </w:r>
      <w:r w:rsidR="00007B3D">
        <w:rPr>
          <w:lang w:val="en-GB"/>
        </w:rPr>
        <w:t xml:space="preserve"> Though a ‘</w:t>
      </w:r>
      <w:r w:rsidR="00007B3D" w:rsidRPr="00010481">
        <w:rPr>
          <w:lang w:val="en-GB"/>
        </w:rPr>
        <w:t>short title that was positively misleading would, however, be likely to be deprecated’</w:t>
      </w:r>
      <w:r w:rsidR="00007B3D">
        <w:rPr>
          <w:lang w:val="en-GB"/>
        </w:rPr>
        <w:t>,</w:t>
      </w:r>
      <w:r w:rsidR="00007B3D" w:rsidRPr="00010481">
        <w:rPr>
          <w:rStyle w:val="FootnoteReference"/>
          <w:lang w:val="en-GB"/>
        </w:rPr>
        <w:footnoteReference w:id="47"/>
      </w:r>
      <w:r w:rsidR="00007B3D">
        <w:rPr>
          <w:lang w:val="en-GB"/>
        </w:rPr>
        <w:t xml:space="preserve"> such deprecation, by the Speaker or others, does not equate to a formal power to disallow such a title. </w:t>
      </w:r>
      <w:r w:rsidR="00764358" w:rsidRPr="00010481">
        <w:rPr>
          <w:lang w:val="en-GB"/>
        </w:rPr>
        <w:t>Therefore the situation is much more ambiguous</w:t>
      </w:r>
      <w:r w:rsidR="006572CB">
        <w:rPr>
          <w:lang w:val="en-GB"/>
        </w:rPr>
        <w:t xml:space="preserve"> and contentious</w:t>
      </w:r>
      <w:r w:rsidR="00764358" w:rsidRPr="00010481">
        <w:rPr>
          <w:lang w:val="en-GB"/>
        </w:rPr>
        <w:t xml:space="preserve"> than </w:t>
      </w:r>
      <w:r w:rsidR="00764358" w:rsidRPr="00010481">
        <w:rPr>
          <w:i/>
          <w:lang w:val="en-GB"/>
        </w:rPr>
        <w:t>Erskine May</w:t>
      </w:r>
      <w:r w:rsidR="00764358" w:rsidRPr="00010481">
        <w:rPr>
          <w:lang w:val="en-GB"/>
        </w:rPr>
        <w:t xml:space="preserve"> states</w:t>
      </w:r>
      <w:r w:rsidR="003D7A82">
        <w:rPr>
          <w:lang w:val="en-GB"/>
        </w:rPr>
        <w:t>,</w:t>
      </w:r>
      <w:r w:rsidR="00764358" w:rsidRPr="00010481">
        <w:rPr>
          <w:rStyle w:val="FootnoteReference"/>
          <w:lang w:val="en-GB"/>
        </w:rPr>
        <w:footnoteReference w:id="48"/>
      </w:r>
      <w:r w:rsidR="003D7A82">
        <w:rPr>
          <w:lang w:val="en-GB"/>
        </w:rPr>
        <w:t xml:space="preserve"> and t</w:t>
      </w:r>
      <w:r w:rsidR="00764358">
        <w:rPr>
          <w:lang w:val="en-GB"/>
        </w:rPr>
        <w:t xml:space="preserve">he lack of any formalised processes or standards when </w:t>
      </w:r>
      <w:r w:rsidR="007D5731">
        <w:rPr>
          <w:lang w:val="en-GB"/>
        </w:rPr>
        <w:t xml:space="preserve">disputes </w:t>
      </w:r>
      <w:r w:rsidR="003D7A82">
        <w:rPr>
          <w:lang w:val="en-GB"/>
        </w:rPr>
        <w:t xml:space="preserve">arise </w:t>
      </w:r>
      <w:r w:rsidR="00F838CB">
        <w:rPr>
          <w:lang w:val="en-GB"/>
        </w:rPr>
        <w:t>in regard to</w:t>
      </w:r>
      <w:r w:rsidR="00764358">
        <w:rPr>
          <w:lang w:val="en-GB"/>
        </w:rPr>
        <w:t xml:space="preserve"> short titles is troubling.</w:t>
      </w:r>
      <w:r w:rsidR="00FC3E81">
        <w:rPr>
          <w:lang w:val="en-GB"/>
        </w:rPr>
        <w:t xml:space="preserve"> </w:t>
      </w:r>
    </w:p>
    <w:p w:rsidR="00C26B8F" w:rsidRPr="003405CC" w:rsidRDefault="0000651C" w:rsidP="00D144FE">
      <w:pPr>
        <w:pStyle w:val="NoSpacing"/>
        <w:spacing w:line="480" w:lineRule="auto"/>
        <w:ind w:firstLine="360"/>
        <w:jc w:val="both"/>
        <w:rPr>
          <w:rStyle w:val="apple-converted-space"/>
          <w:lang w:val="en-GB"/>
        </w:rPr>
      </w:pPr>
      <w:r>
        <w:rPr>
          <w:lang w:val="en-GB"/>
        </w:rPr>
        <w:t>Additionally, b</w:t>
      </w:r>
      <w:r w:rsidR="00DF28DC" w:rsidRPr="007C073A">
        <w:rPr>
          <w:lang w:val="en-GB"/>
        </w:rPr>
        <w:t>oth Commons and Lords committee proceedings take into consideration the title</w:t>
      </w:r>
      <w:r w:rsidR="00CD639E">
        <w:rPr>
          <w:lang w:val="en-GB"/>
        </w:rPr>
        <w:t xml:space="preserve">s of </w:t>
      </w:r>
      <w:r w:rsidR="00DF28DC">
        <w:rPr>
          <w:lang w:val="en-GB"/>
        </w:rPr>
        <w:t>b</w:t>
      </w:r>
      <w:r w:rsidR="00DF28DC" w:rsidRPr="007C073A">
        <w:rPr>
          <w:lang w:val="en-GB"/>
        </w:rPr>
        <w:t>ill</w:t>
      </w:r>
      <w:r w:rsidR="00CD639E">
        <w:rPr>
          <w:lang w:val="en-GB"/>
        </w:rPr>
        <w:t>s</w:t>
      </w:r>
      <w:r w:rsidR="00D144FE">
        <w:rPr>
          <w:lang w:val="en-GB"/>
        </w:rPr>
        <w:t xml:space="preserve"> and offer further avenues with which </w:t>
      </w:r>
      <w:r w:rsidR="005978F6">
        <w:rPr>
          <w:lang w:val="en-GB"/>
        </w:rPr>
        <w:t xml:space="preserve">to </w:t>
      </w:r>
      <w:r w:rsidR="00D144FE">
        <w:rPr>
          <w:lang w:val="en-GB"/>
        </w:rPr>
        <w:t>amend titles</w:t>
      </w:r>
      <w:r w:rsidR="00DF28DC" w:rsidRPr="007C073A">
        <w:rPr>
          <w:lang w:val="en-GB"/>
        </w:rPr>
        <w:t>.</w:t>
      </w:r>
      <w:r w:rsidR="00DF28DC">
        <w:rPr>
          <w:lang w:val="en-GB"/>
        </w:rPr>
        <w:t xml:space="preserve"> </w:t>
      </w:r>
      <w:r w:rsidR="00DF28DC" w:rsidRPr="007C073A">
        <w:rPr>
          <w:lang w:val="en-GB"/>
        </w:rPr>
        <w:t>In</w:t>
      </w:r>
      <w:r w:rsidR="00DF28DC">
        <w:rPr>
          <w:lang w:val="en-GB"/>
        </w:rPr>
        <w:t xml:space="preserve"> the Commons, the </w:t>
      </w:r>
      <w:r w:rsidR="00CD639E">
        <w:rPr>
          <w:lang w:val="en-GB"/>
        </w:rPr>
        <w:t>bill titles are</w:t>
      </w:r>
      <w:r w:rsidR="00DF28DC" w:rsidRPr="007C073A">
        <w:rPr>
          <w:lang w:val="en-GB"/>
        </w:rPr>
        <w:t xml:space="preserve"> the final aspect</w:t>
      </w:r>
      <w:r w:rsidR="00CD639E">
        <w:rPr>
          <w:lang w:val="en-GB"/>
        </w:rPr>
        <w:t>s</w:t>
      </w:r>
      <w:r w:rsidR="00DF28DC" w:rsidRPr="007C073A">
        <w:rPr>
          <w:lang w:val="en-GB"/>
        </w:rPr>
        <w:t xml:space="preserve"> the committee examines, following the clauses, new clauses, schedules, new </w:t>
      </w:r>
      <w:r w:rsidR="00CD639E">
        <w:rPr>
          <w:lang w:val="en-GB"/>
        </w:rPr>
        <w:t>schedules, and (if present) the preamble</w:t>
      </w:r>
      <w:r w:rsidR="00D144FE">
        <w:rPr>
          <w:lang w:val="en-GB"/>
        </w:rPr>
        <w:t>;</w:t>
      </w:r>
      <w:r w:rsidR="00DF28DC" w:rsidRPr="007C073A">
        <w:rPr>
          <w:rStyle w:val="FootnoteReference"/>
          <w:lang w:val="en-GB"/>
        </w:rPr>
        <w:footnoteReference w:id="49"/>
      </w:r>
      <w:r w:rsidR="00DF28DC">
        <w:rPr>
          <w:lang w:val="en-GB"/>
        </w:rPr>
        <w:t xml:space="preserve"> </w:t>
      </w:r>
      <w:r w:rsidR="00D144FE">
        <w:rPr>
          <w:lang w:val="en-GB"/>
        </w:rPr>
        <w:t xml:space="preserve">the Lords committee proceedings are </w:t>
      </w:r>
      <w:r w:rsidR="00F91982">
        <w:rPr>
          <w:lang w:val="en-GB"/>
        </w:rPr>
        <w:t xml:space="preserve">conducted </w:t>
      </w:r>
      <w:r w:rsidR="00D144FE">
        <w:rPr>
          <w:lang w:val="en-GB"/>
        </w:rPr>
        <w:t>similar</w:t>
      </w:r>
      <w:r w:rsidR="00F91982">
        <w:rPr>
          <w:lang w:val="en-GB"/>
        </w:rPr>
        <w:t>ly</w:t>
      </w:r>
      <w:r w:rsidR="00DF28DC" w:rsidRPr="007C073A">
        <w:rPr>
          <w:lang w:val="en-GB"/>
        </w:rPr>
        <w:t>.</w:t>
      </w:r>
      <w:r w:rsidR="00DF28DC" w:rsidRPr="007C073A">
        <w:rPr>
          <w:rStyle w:val="FootnoteReference"/>
          <w:lang w:val="en-GB"/>
        </w:rPr>
        <w:footnoteReference w:id="50"/>
      </w:r>
      <w:r w:rsidR="00F91982">
        <w:rPr>
          <w:lang w:val="en-GB"/>
        </w:rPr>
        <w:t xml:space="preserve"> A</w:t>
      </w:r>
      <w:r w:rsidR="00DF28DC" w:rsidRPr="007C073A">
        <w:rPr>
          <w:lang w:val="en-GB"/>
        </w:rPr>
        <w:t>mendments</w:t>
      </w:r>
      <w:r w:rsidR="00DF28DC">
        <w:rPr>
          <w:lang w:val="en-GB"/>
        </w:rPr>
        <w:t xml:space="preserve"> to the title of a b</w:t>
      </w:r>
      <w:r w:rsidR="00DF28DC" w:rsidRPr="007C073A">
        <w:rPr>
          <w:lang w:val="en-GB"/>
        </w:rPr>
        <w:t xml:space="preserve">ill can </w:t>
      </w:r>
      <w:r w:rsidR="00DF28DC">
        <w:rPr>
          <w:lang w:val="en-GB"/>
        </w:rPr>
        <w:t xml:space="preserve">be </w:t>
      </w:r>
      <w:r w:rsidR="00DF28DC" w:rsidRPr="007C073A">
        <w:rPr>
          <w:lang w:val="en-GB"/>
        </w:rPr>
        <w:t xml:space="preserve">taken under consideration, </w:t>
      </w:r>
      <w:r w:rsidR="005978F6">
        <w:rPr>
          <w:lang w:val="en-GB"/>
        </w:rPr>
        <w:t xml:space="preserve">for example, </w:t>
      </w:r>
      <w:r w:rsidR="00DF28DC" w:rsidRPr="007C073A">
        <w:rPr>
          <w:lang w:val="en-GB"/>
        </w:rPr>
        <w:t xml:space="preserve">when the Lord Chairman asks </w:t>
      </w:r>
      <w:r w:rsidR="00DF28DC">
        <w:rPr>
          <w:lang w:val="en-GB"/>
        </w:rPr>
        <w:t>‘</w:t>
      </w:r>
      <w:r w:rsidR="00DF28DC" w:rsidRPr="007C073A">
        <w:rPr>
          <w:lang w:val="en-GB"/>
        </w:rPr>
        <w:t>That this be the title of the bill</w:t>
      </w:r>
      <w:r w:rsidR="00DF28DC">
        <w:rPr>
          <w:lang w:val="en-GB"/>
        </w:rPr>
        <w:t>’</w:t>
      </w:r>
      <w:r w:rsidR="00DF28DC" w:rsidRPr="007C073A">
        <w:rPr>
          <w:lang w:val="en-GB"/>
        </w:rPr>
        <w:t>.</w:t>
      </w:r>
      <w:r w:rsidR="00DF28DC" w:rsidRPr="007C073A">
        <w:rPr>
          <w:rStyle w:val="FootnoteReference"/>
          <w:lang w:val="en-GB"/>
        </w:rPr>
        <w:footnoteReference w:id="51"/>
      </w:r>
      <w:r w:rsidR="00DF28DC">
        <w:rPr>
          <w:lang w:val="en-GB"/>
        </w:rPr>
        <w:t xml:space="preserve"> Amendment of bill titles </w:t>
      </w:r>
      <w:r w:rsidR="008239C9">
        <w:rPr>
          <w:lang w:val="en-GB"/>
        </w:rPr>
        <w:t>is</w:t>
      </w:r>
      <w:r w:rsidR="00DF28DC">
        <w:rPr>
          <w:lang w:val="en-GB"/>
        </w:rPr>
        <w:t xml:space="preserve"> also considered during the Report stage.</w:t>
      </w:r>
      <w:r w:rsidR="00DF28DC">
        <w:rPr>
          <w:rStyle w:val="FootnoteReference"/>
          <w:lang w:val="en-GB"/>
        </w:rPr>
        <w:footnoteReference w:id="52"/>
      </w:r>
      <w:r w:rsidR="00DF28DC">
        <w:rPr>
          <w:lang w:val="en-GB"/>
        </w:rPr>
        <w:t xml:space="preserve"> However</w:t>
      </w:r>
      <w:r w:rsidR="00DF28DC" w:rsidRPr="007C073A">
        <w:rPr>
          <w:lang w:val="en-GB"/>
        </w:rPr>
        <w:t xml:space="preserve"> </w:t>
      </w:r>
      <w:r w:rsidR="003B1725">
        <w:rPr>
          <w:lang w:val="en-GB"/>
        </w:rPr>
        <w:t>it is uncommon for</w:t>
      </w:r>
      <w:r w:rsidR="00DF28DC" w:rsidRPr="007C073A">
        <w:rPr>
          <w:lang w:val="en-GB"/>
        </w:rPr>
        <w:t xml:space="preserve"> a </w:t>
      </w:r>
      <w:r w:rsidR="00D9321D">
        <w:rPr>
          <w:lang w:val="en-GB"/>
        </w:rPr>
        <w:t xml:space="preserve">short </w:t>
      </w:r>
      <w:r w:rsidR="003142B1">
        <w:rPr>
          <w:lang w:val="en-GB"/>
        </w:rPr>
        <w:t xml:space="preserve">title </w:t>
      </w:r>
      <w:r w:rsidR="003B1725">
        <w:rPr>
          <w:lang w:val="en-GB"/>
        </w:rPr>
        <w:t>to change</w:t>
      </w:r>
      <w:r w:rsidR="003142B1">
        <w:rPr>
          <w:lang w:val="en-GB"/>
        </w:rPr>
        <w:t xml:space="preserve"> by amendment </w:t>
      </w:r>
      <w:r w:rsidR="003B1725">
        <w:rPr>
          <w:lang w:val="en-GB"/>
        </w:rPr>
        <w:t>during</w:t>
      </w:r>
      <w:r w:rsidR="003142B1">
        <w:rPr>
          <w:lang w:val="en-GB"/>
        </w:rPr>
        <w:t xml:space="preserve"> these </w:t>
      </w:r>
      <w:r w:rsidR="00DF28DC" w:rsidRPr="007C073A">
        <w:rPr>
          <w:lang w:val="en-GB"/>
        </w:rPr>
        <w:t>stage</w:t>
      </w:r>
      <w:r w:rsidR="003142B1">
        <w:rPr>
          <w:lang w:val="en-GB"/>
        </w:rPr>
        <w:t>s</w:t>
      </w:r>
      <w:r w:rsidR="00DF28DC" w:rsidRPr="007C073A">
        <w:rPr>
          <w:lang w:val="en-GB"/>
        </w:rPr>
        <w:t>.</w:t>
      </w:r>
      <w:r w:rsidR="00B00752">
        <w:rPr>
          <w:rStyle w:val="FootnoteReference"/>
          <w:lang w:val="en-GB"/>
        </w:rPr>
        <w:footnoteReference w:id="53"/>
      </w:r>
      <w:r w:rsidR="00DF28DC">
        <w:rPr>
          <w:lang w:val="en-GB"/>
        </w:rPr>
        <w:t xml:space="preserve"> </w:t>
      </w:r>
    </w:p>
    <w:p w:rsidR="00764358" w:rsidRPr="00010481" w:rsidRDefault="00764358" w:rsidP="00764358">
      <w:pPr>
        <w:pStyle w:val="NoSpacing"/>
        <w:spacing w:line="480" w:lineRule="auto"/>
        <w:rPr>
          <w:lang w:val="en-GB"/>
        </w:rPr>
      </w:pPr>
    </w:p>
    <w:p w:rsidR="00764358" w:rsidRPr="00010481" w:rsidRDefault="00375B41" w:rsidP="00764358">
      <w:pPr>
        <w:pStyle w:val="NoSpacing"/>
        <w:spacing w:line="480" w:lineRule="auto"/>
        <w:rPr>
          <w:rStyle w:val="apple-converted-space"/>
          <w:rFonts w:ascii="Palatino Linotype" w:hAnsi="Palatino Linotype"/>
          <w:bCs/>
          <w:color w:val="000000"/>
          <w:sz w:val="32"/>
          <w:szCs w:val="32"/>
          <w:lang w:val="en-GB"/>
        </w:rPr>
      </w:pPr>
      <w:r>
        <w:rPr>
          <w:rStyle w:val="apple-converted-space"/>
          <w:rFonts w:ascii="Palatino Linotype" w:hAnsi="Palatino Linotype"/>
          <w:bCs/>
          <w:color w:val="000000"/>
          <w:sz w:val="32"/>
          <w:szCs w:val="32"/>
          <w:lang w:val="en-GB"/>
        </w:rPr>
        <w:t>Possible Remedies</w:t>
      </w:r>
    </w:p>
    <w:p w:rsidR="00764358" w:rsidRPr="00CE5B28" w:rsidRDefault="00764358" w:rsidP="000F271B">
      <w:pPr>
        <w:pStyle w:val="NoSpacing"/>
        <w:spacing w:line="480" w:lineRule="auto"/>
        <w:jc w:val="both"/>
        <w:rPr>
          <w:rStyle w:val="apple-converted-space"/>
          <w:bCs/>
          <w:lang w:val="en-GB"/>
        </w:rPr>
      </w:pPr>
      <w:r w:rsidRPr="00010481">
        <w:rPr>
          <w:rStyle w:val="apple-converted-space"/>
          <w:bCs/>
          <w:lang w:val="en-GB"/>
        </w:rPr>
        <w:lastRenderedPageBreak/>
        <w:t>The observation</w:t>
      </w:r>
      <w:r>
        <w:rPr>
          <w:rStyle w:val="apple-converted-space"/>
          <w:bCs/>
          <w:lang w:val="en-GB"/>
        </w:rPr>
        <w:t>s</w:t>
      </w:r>
      <w:r w:rsidRPr="00010481">
        <w:rPr>
          <w:rStyle w:val="apple-converted-space"/>
          <w:bCs/>
          <w:lang w:val="en-GB"/>
        </w:rPr>
        <w:t xml:space="preserve"> </w:t>
      </w:r>
      <w:r>
        <w:rPr>
          <w:rStyle w:val="apple-converted-space"/>
          <w:bCs/>
          <w:lang w:val="en-GB"/>
        </w:rPr>
        <w:t xml:space="preserve">noted </w:t>
      </w:r>
      <w:r w:rsidRPr="00010481">
        <w:rPr>
          <w:rStyle w:val="apple-converted-space"/>
          <w:bCs/>
          <w:lang w:val="en-GB"/>
        </w:rPr>
        <w:t xml:space="preserve">above </w:t>
      </w:r>
      <w:r w:rsidR="005978F6">
        <w:rPr>
          <w:rStyle w:val="apple-converted-space"/>
          <w:bCs/>
          <w:lang w:val="en-GB"/>
        </w:rPr>
        <w:t>suggest</w:t>
      </w:r>
      <w:r>
        <w:rPr>
          <w:rStyle w:val="apple-converted-space"/>
          <w:bCs/>
          <w:lang w:val="en-GB"/>
        </w:rPr>
        <w:t xml:space="preserve"> </w:t>
      </w:r>
      <w:r w:rsidR="005978F6">
        <w:rPr>
          <w:rStyle w:val="apple-converted-space"/>
          <w:bCs/>
          <w:lang w:val="en-GB"/>
        </w:rPr>
        <w:t>that Westminster’s</w:t>
      </w:r>
      <w:r>
        <w:rPr>
          <w:rStyle w:val="apple-converted-space"/>
          <w:bCs/>
          <w:lang w:val="en-GB"/>
        </w:rPr>
        <w:t xml:space="preserve"> </w:t>
      </w:r>
      <w:r w:rsidRPr="00010481">
        <w:rPr>
          <w:rStyle w:val="apple-converted-space"/>
          <w:bCs/>
          <w:lang w:val="en-GB"/>
        </w:rPr>
        <w:t>long-standing tradition of descriptive legal short titles may need active surveillance.</w:t>
      </w:r>
      <w:r>
        <w:rPr>
          <w:rStyle w:val="apple-converted-space"/>
          <w:bCs/>
          <w:lang w:val="en-GB"/>
        </w:rPr>
        <w:t xml:space="preserve"> </w:t>
      </w:r>
      <w:r w:rsidR="005978F6">
        <w:rPr>
          <w:rStyle w:val="apple-converted-space"/>
          <w:bCs/>
          <w:lang w:val="en-GB"/>
        </w:rPr>
        <w:t>Therefore a</w:t>
      </w:r>
      <w:r w:rsidR="00375B41">
        <w:rPr>
          <w:rStyle w:val="apple-converted-space"/>
          <w:bCs/>
          <w:lang w:val="en-GB"/>
        </w:rPr>
        <w:t xml:space="preserve">dopting some </w:t>
      </w:r>
      <w:r w:rsidR="0048597E">
        <w:rPr>
          <w:rStyle w:val="apple-converted-space"/>
          <w:bCs/>
          <w:lang w:val="en-GB"/>
        </w:rPr>
        <w:t>clarifying</w:t>
      </w:r>
      <w:r w:rsidR="00375B41">
        <w:rPr>
          <w:rStyle w:val="apple-converted-space"/>
          <w:bCs/>
          <w:lang w:val="en-GB"/>
        </w:rPr>
        <w:t xml:space="preserve"> standards and procedures in relation to short titles </w:t>
      </w:r>
      <w:r w:rsidR="005978F6">
        <w:rPr>
          <w:rStyle w:val="apple-converted-space"/>
          <w:bCs/>
          <w:lang w:val="en-GB"/>
        </w:rPr>
        <w:t>seems appropriate at this stage</w:t>
      </w:r>
      <w:r w:rsidR="0048597E">
        <w:rPr>
          <w:rStyle w:val="apple-converted-space"/>
          <w:bCs/>
          <w:lang w:val="en-GB"/>
        </w:rPr>
        <w:t xml:space="preserve">. </w:t>
      </w:r>
      <w:r w:rsidR="00375B41">
        <w:rPr>
          <w:rStyle w:val="apple-converted-space"/>
          <w:bCs/>
          <w:lang w:val="en-GB"/>
        </w:rPr>
        <w:t xml:space="preserve">In addition, </w:t>
      </w:r>
      <w:r>
        <w:rPr>
          <w:rStyle w:val="apple-converted-space"/>
          <w:bCs/>
          <w:lang w:val="en-GB"/>
        </w:rPr>
        <w:t xml:space="preserve">excluding overt policy statements </w:t>
      </w:r>
      <w:r w:rsidR="00375B41">
        <w:rPr>
          <w:rStyle w:val="apple-converted-space"/>
          <w:bCs/>
          <w:lang w:val="en-GB"/>
        </w:rPr>
        <w:t xml:space="preserve">or promotional language </w:t>
      </w:r>
      <w:r w:rsidR="003C6733">
        <w:rPr>
          <w:rStyle w:val="apple-converted-space"/>
          <w:bCs/>
          <w:lang w:val="en-GB"/>
        </w:rPr>
        <w:t xml:space="preserve">from short titles is a </w:t>
      </w:r>
      <w:r w:rsidR="006B6C5B">
        <w:rPr>
          <w:rStyle w:val="apple-converted-space"/>
          <w:bCs/>
          <w:lang w:val="en-GB"/>
        </w:rPr>
        <w:t>prudent</w:t>
      </w:r>
      <w:r w:rsidR="003C6733">
        <w:rPr>
          <w:rStyle w:val="apple-converted-space"/>
          <w:bCs/>
          <w:lang w:val="en-GB"/>
        </w:rPr>
        <w:t xml:space="preserve"> </w:t>
      </w:r>
      <w:r w:rsidR="00375B41">
        <w:rPr>
          <w:rStyle w:val="apple-converted-space"/>
          <w:bCs/>
          <w:lang w:val="en-GB"/>
        </w:rPr>
        <w:t>remedy for preserving a certain amount of decency in the legislative process</w:t>
      </w:r>
      <w:r w:rsidR="0057772F">
        <w:rPr>
          <w:rStyle w:val="apple-converted-space"/>
          <w:bCs/>
          <w:lang w:val="en-GB"/>
        </w:rPr>
        <w:t xml:space="preserve"> and in the statute book</w:t>
      </w:r>
      <w:r>
        <w:rPr>
          <w:rStyle w:val="apple-converted-space"/>
          <w:bCs/>
          <w:lang w:val="en-GB"/>
        </w:rPr>
        <w:t xml:space="preserve">. </w:t>
      </w:r>
    </w:p>
    <w:p w:rsidR="00764358" w:rsidRPr="00010481" w:rsidRDefault="00764358" w:rsidP="00764358">
      <w:pPr>
        <w:pStyle w:val="NoSpacing"/>
        <w:spacing w:line="480" w:lineRule="auto"/>
        <w:rPr>
          <w:rStyle w:val="apple-converted-space"/>
          <w:bCs/>
          <w:color w:val="000000"/>
          <w:lang w:val="en-GB"/>
        </w:rPr>
      </w:pPr>
    </w:p>
    <w:p w:rsidR="00764358" w:rsidRPr="00D10E2B" w:rsidRDefault="00764358" w:rsidP="00764358">
      <w:pPr>
        <w:pStyle w:val="NoSpacing"/>
        <w:spacing w:line="480" w:lineRule="auto"/>
        <w:jc w:val="center"/>
        <w:rPr>
          <w:rStyle w:val="apple-converted-space"/>
          <w:rFonts w:ascii="Palatino Linotype" w:hAnsi="Palatino Linotype"/>
          <w:bCs/>
          <w:color w:val="000000"/>
          <w:sz w:val="32"/>
          <w:szCs w:val="32"/>
          <w:lang w:val="en-GB"/>
        </w:rPr>
      </w:pPr>
      <w:r w:rsidRPr="00D10E2B">
        <w:rPr>
          <w:rStyle w:val="apple-converted-space"/>
          <w:rFonts w:ascii="Palatino Linotype" w:hAnsi="Palatino Linotype"/>
          <w:bCs/>
          <w:color w:val="000000"/>
          <w:sz w:val="32"/>
          <w:szCs w:val="32"/>
          <w:lang w:val="en-GB"/>
        </w:rPr>
        <w:t>Short Title Recommendations</w:t>
      </w:r>
    </w:p>
    <w:p w:rsidR="00764358" w:rsidRPr="00010481" w:rsidRDefault="00764358" w:rsidP="000F271B">
      <w:pPr>
        <w:pStyle w:val="NoSpacing"/>
        <w:spacing w:line="480" w:lineRule="auto"/>
        <w:jc w:val="both"/>
        <w:rPr>
          <w:lang w:val="en-GB"/>
        </w:rPr>
      </w:pPr>
      <w:r w:rsidRPr="00010481">
        <w:rPr>
          <w:lang w:val="en-GB"/>
        </w:rPr>
        <w:t xml:space="preserve">Although the </w:t>
      </w:r>
      <w:r>
        <w:rPr>
          <w:lang w:val="en-GB"/>
        </w:rPr>
        <w:t>instructions</w:t>
      </w:r>
      <w:r w:rsidR="0048597E">
        <w:rPr>
          <w:lang w:val="en-GB"/>
        </w:rPr>
        <w:t xml:space="preserve"> relating </w:t>
      </w:r>
      <w:r>
        <w:rPr>
          <w:lang w:val="en-GB"/>
        </w:rPr>
        <w:t>to proper short bill titling and appropriate resolution of disputes in Westminster</w:t>
      </w:r>
      <w:r w:rsidR="00364821">
        <w:rPr>
          <w:lang w:val="en-GB"/>
        </w:rPr>
        <w:t xml:space="preserve"> are anything but precise</w:t>
      </w:r>
      <w:r w:rsidRPr="00010481">
        <w:rPr>
          <w:lang w:val="en-GB"/>
        </w:rPr>
        <w:t>, recommendations and reforms regarding short titles should be straightforward and easily comprehensible, because time spent on the titles of legislation should not be given precedence over time spent on the</w:t>
      </w:r>
      <w:r>
        <w:rPr>
          <w:lang w:val="en-GB"/>
        </w:rPr>
        <w:t xml:space="preserve"> s</w:t>
      </w:r>
      <w:r w:rsidR="003C6733">
        <w:rPr>
          <w:lang w:val="en-GB"/>
        </w:rPr>
        <w:t>ubstance of legislation. B</w:t>
      </w:r>
      <w:r>
        <w:rPr>
          <w:lang w:val="en-GB"/>
        </w:rPr>
        <w:t xml:space="preserve">elow are five short </w:t>
      </w:r>
      <w:r w:rsidRPr="00010481">
        <w:rPr>
          <w:lang w:val="en-GB"/>
        </w:rPr>
        <w:t>recommendations/reforms</w:t>
      </w:r>
      <w:r>
        <w:rPr>
          <w:lang w:val="en-GB"/>
        </w:rPr>
        <w:t xml:space="preserve"> in relation to short titles that this author believes follows best practices</w:t>
      </w:r>
      <w:r w:rsidRPr="00010481">
        <w:rPr>
          <w:lang w:val="en-GB"/>
        </w:rPr>
        <w:t xml:space="preserve">: </w:t>
      </w:r>
    </w:p>
    <w:p w:rsidR="00764358" w:rsidRPr="00010481" w:rsidRDefault="00764358" w:rsidP="000F271B">
      <w:pPr>
        <w:pStyle w:val="NoSpacing"/>
        <w:numPr>
          <w:ilvl w:val="0"/>
          <w:numId w:val="2"/>
        </w:numPr>
        <w:spacing w:line="480" w:lineRule="auto"/>
        <w:jc w:val="both"/>
        <w:rPr>
          <w:lang w:val="en-GB"/>
        </w:rPr>
      </w:pPr>
      <w:r w:rsidRPr="00010481">
        <w:rPr>
          <w:lang w:val="en-GB"/>
        </w:rPr>
        <w:t>Accuracy is paramount. A short title should be as descriptive as possible without being unduly emotive, misleading, tendentious o</w:t>
      </w:r>
      <w:r>
        <w:rPr>
          <w:lang w:val="en-GB"/>
        </w:rPr>
        <w:t>r otherwise controversial</w:t>
      </w:r>
      <w:r w:rsidRPr="00010481">
        <w:rPr>
          <w:lang w:val="en-GB"/>
        </w:rPr>
        <w:t xml:space="preserve">. Accuracy ensures that the </w:t>
      </w:r>
      <w:r>
        <w:rPr>
          <w:lang w:val="en-GB"/>
        </w:rPr>
        <w:t>short title</w:t>
      </w:r>
      <w:r w:rsidRPr="00010481">
        <w:rPr>
          <w:lang w:val="en-GB"/>
        </w:rPr>
        <w:t xml:space="preserve"> easily encapsulates the subject of the bill for those who encounter it; aids in the overall interpretation of the bill for legislative, judicial and other scrutiny; and provides for ease of use when placing or referencing an Act in the Statute Book. </w:t>
      </w:r>
    </w:p>
    <w:p w:rsidR="00764358" w:rsidRPr="00010481" w:rsidRDefault="00764358" w:rsidP="000F271B">
      <w:pPr>
        <w:pStyle w:val="NoSpacing"/>
        <w:numPr>
          <w:ilvl w:val="0"/>
          <w:numId w:val="2"/>
        </w:numPr>
        <w:spacing w:line="480" w:lineRule="auto"/>
        <w:jc w:val="both"/>
        <w:rPr>
          <w:lang w:val="en-GB"/>
        </w:rPr>
      </w:pPr>
      <w:r w:rsidRPr="00010481">
        <w:rPr>
          <w:lang w:val="en-GB"/>
        </w:rPr>
        <w:t>If a short title can be easily construed as a policy statement; if the short title in essence makes suggestive or symbolic assumptions about what it will or will not accomplish with no reasonable measure available (i.e. without the measure being implemented as law and its impact sufficiently definable and susceptible to empirical study); or if the core meaning of the short title can be debated because of the ambiguous language</w:t>
      </w:r>
      <w:r w:rsidR="00A40590">
        <w:rPr>
          <w:lang w:val="en-GB"/>
        </w:rPr>
        <w:t xml:space="preserve"> </w:t>
      </w:r>
      <w:r w:rsidR="00A40590">
        <w:rPr>
          <w:lang w:val="en-GB"/>
        </w:rPr>
        <w:lastRenderedPageBreak/>
        <w:t>contained within its text (i.e.</w:t>
      </w:r>
      <w:r w:rsidRPr="00010481">
        <w:rPr>
          <w:lang w:val="en-GB"/>
        </w:rPr>
        <w:t xml:space="preserve"> ‘responsibility’ or ‘accountability’ to one individual does not necessarily mean ‘responsibility’ or ‘accountability’ to another individual); then such language should not be used. </w:t>
      </w:r>
    </w:p>
    <w:p w:rsidR="00764358" w:rsidRPr="00010481" w:rsidRDefault="00764358" w:rsidP="000F271B">
      <w:pPr>
        <w:pStyle w:val="NoSpacing"/>
        <w:numPr>
          <w:ilvl w:val="0"/>
          <w:numId w:val="1"/>
        </w:numPr>
        <w:spacing w:line="480" w:lineRule="auto"/>
        <w:jc w:val="both"/>
        <w:rPr>
          <w:lang w:val="en-GB"/>
        </w:rPr>
      </w:pPr>
      <w:r w:rsidRPr="00010481">
        <w:rPr>
          <w:lang w:val="en-GB"/>
        </w:rPr>
        <w:t xml:space="preserve">If the short title of a bill employs the name/s </w:t>
      </w:r>
      <w:r>
        <w:rPr>
          <w:lang w:val="en-GB"/>
        </w:rPr>
        <w:t xml:space="preserve">of a victim, </w:t>
      </w:r>
      <w:proofErr w:type="gramStart"/>
      <w:r>
        <w:rPr>
          <w:lang w:val="en-GB"/>
        </w:rPr>
        <w:t>member</w:t>
      </w:r>
      <w:proofErr w:type="gramEnd"/>
      <w:r>
        <w:rPr>
          <w:lang w:val="en-GB"/>
        </w:rPr>
        <w:t xml:space="preserve"> of </w:t>
      </w:r>
      <w:r w:rsidRPr="00010481">
        <w:rPr>
          <w:lang w:val="en-GB"/>
        </w:rPr>
        <w:t>Parliament, or anybody who could be used to either assist or hinder the legislation in question</w:t>
      </w:r>
      <w:r>
        <w:rPr>
          <w:lang w:val="en-GB"/>
        </w:rPr>
        <w:t xml:space="preserve"> during the legislative process</w:t>
      </w:r>
      <w:r w:rsidRPr="00010481">
        <w:rPr>
          <w:lang w:val="en-GB"/>
        </w:rPr>
        <w:t xml:space="preserve">, then such language should not be used. </w:t>
      </w:r>
    </w:p>
    <w:p w:rsidR="00764358" w:rsidRPr="00010481" w:rsidRDefault="00764358" w:rsidP="000F271B">
      <w:pPr>
        <w:pStyle w:val="NoSpacing"/>
        <w:numPr>
          <w:ilvl w:val="0"/>
          <w:numId w:val="1"/>
        </w:numPr>
        <w:spacing w:line="480" w:lineRule="auto"/>
        <w:jc w:val="both"/>
        <w:rPr>
          <w:lang w:val="en-GB"/>
        </w:rPr>
      </w:pPr>
      <w:r w:rsidRPr="00010481">
        <w:rPr>
          <w:lang w:val="en-GB"/>
        </w:rPr>
        <w:t xml:space="preserve">If the short title of a bill uses language that spells an acronym that either: (a) spells a word or phrase that falls into above categories (1), (2) or (3); or (b) spells a word that </w:t>
      </w:r>
      <w:r w:rsidR="00ED10DD">
        <w:rPr>
          <w:lang w:val="en-GB"/>
        </w:rPr>
        <w:t xml:space="preserve">intentionally </w:t>
      </w:r>
      <w:r w:rsidRPr="00010481">
        <w:rPr>
          <w:lang w:val="en-GB"/>
        </w:rPr>
        <w:t xml:space="preserve">misrepresents the legislation in any form or fashion, then such language should not be used. </w:t>
      </w:r>
    </w:p>
    <w:p w:rsidR="00764358" w:rsidRPr="00010481" w:rsidRDefault="00764358" w:rsidP="000F271B">
      <w:pPr>
        <w:pStyle w:val="NoSpacing"/>
        <w:numPr>
          <w:ilvl w:val="0"/>
          <w:numId w:val="1"/>
        </w:numPr>
        <w:spacing w:line="480" w:lineRule="auto"/>
        <w:jc w:val="both"/>
        <w:rPr>
          <w:lang w:val="en-GB"/>
        </w:rPr>
      </w:pPr>
      <w:r w:rsidRPr="00010481">
        <w:rPr>
          <w:lang w:val="en-GB"/>
        </w:rPr>
        <w:t xml:space="preserve">In order to ensure accuracy, and in the hopes of </w:t>
      </w:r>
      <w:r>
        <w:rPr>
          <w:lang w:val="en-GB"/>
        </w:rPr>
        <w:t>preventing</w:t>
      </w:r>
      <w:r w:rsidRPr="00010481">
        <w:rPr>
          <w:lang w:val="en-GB"/>
        </w:rPr>
        <w:t xml:space="preserve"> overtly political or divisive bill names, all </w:t>
      </w:r>
      <w:r w:rsidR="001B4B17">
        <w:rPr>
          <w:lang w:val="en-GB"/>
        </w:rPr>
        <w:t>short</w:t>
      </w:r>
      <w:r w:rsidRPr="00010481">
        <w:rPr>
          <w:lang w:val="en-GB"/>
        </w:rPr>
        <w:t xml:space="preserve"> titles should be provided by (</w:t>
      </w:r>
      <w:r w:rsidRPr="00010481">
        <w:rPr>
          <w:rStyle w:val="apple-style-span"/>
          <w:color w:val="000000"/>
          <w:lang w:val="en-GB"/>
        </w:rPr>
        <w:t xml:space="preserve">and stay </w:t>
      </w:r>
      <w:proofErr w:type="spellStart"/>
      <w:r w:rsidRPr="00010481">
        <w:rPr>
          <w:rStyle w:val="apple-style-span"/>
          <w:color w:val="000000"/>
          <w:lang w:val="en-GB"/>
        </w:rPr>
        <w:t>unamended</w:t>
      </w:r>
      <w:proofErr w:type="spellEnd"/>
      <w:r w:rsidRPr="00010481">
        <w:rPr>
          <w:rStyle w:val="apple-style-span"/>
          <w:color w:val="000000"/>
          <w:lang w:val="en-GB"/>
        </w:rPr>
        <w:t xml:space="preserve"> other</w:t>
      </w:r>
      <w:r w:rsidRPr="00010481">
        <w:rPr>
          <w:color w:val="000000"/>
          <w:lang w:val="en-GB"/>
        </w:rPr>
        <w:t xml:space="preserve"> </w:t>
      </w:r>
      <w:r w:rsidRPr="00010481">
        <w:rPr>
          <w:rStyle w:val="apple-style-span"/>
          <w:color w:val="000000"/>
          <w:lang w:val="en-GB"/>
        </w:rPr>
        <w:t>than at the insistence of)</w:t>
      </w:r>
      <w:r w:rsidRPr="00010481">
        <w:rPr>
          <w:lang w:val="en-GB"/>
        </w:rPr>
        <w:t xml:space="preserve"> the lead drafter preparing the statute, honouring the principles provided in the above guidelines and giving ultimate deference to the impartiality, ease of reference and non-political nature of the Statute Book. </w:t>
      </w:r>
    </w:p>
    <w:p w:rsidR="00764358" w:rsidRDefault="00764358" w:rsidP="00ED10DD">
      <w:pPr>
        <w:pStyle w:val="NoSpacing"/>
        <w:spacing w:line="480" w:lineRule="auto"/>
        <w:ind w:firstLine="360"/>
        <w:jc w:val="both"/>
        <w:rPr>
          <w:lang w:val="en-GB"/>
        </w:rPr>
      </w:pPr>
      <w:r w:rsidRPr="00010481">
        <w:rPr>
          <w:lang w:val="en-GB"/>
        </w:rPr>
        <w:t xml:space="preserve">These five recommendations are constructed to ensure that short bill titles are easily understandable and representative of the legislation in question; accurate; non-political; and </w:t>
      </w:r>
      <w:proofErr w:type="spellStart"/>
      <w:r w:rsidRPr="00010481">
        <w:rPr>
          <w:lang w:val="en-GB"/>
        </w:rPr>
        <w:t>unemotive</w:t>
      </w:r>
      <w:proofErr w:type="spellEnd"/>
      <w:r w:rsidRPr="00010481">
        <w:rPr>
          <w:lang w:val="en-GB"/>
        </w:rPr>
        <w:t xml:space="preserve">. Additionally, and equally importantly, </w:t>
      </w:r>
      <w:r w:rsidRPr="001B4B17">
        <w:rPr>
          <w:lang w:val="en-GB"/>
        </w:rPr>
        <w:t xml:space="preserve">the </w:t>
      </w:r>
      <w:r w:rsidR="006B6C5B">
        <w:rPr>
          <w:lang w:val="en-GB"/>
        </w:rPr>
        <w:t>purpose</w:t>
      </w:r>
      <w:r w:rsidR="001B4B17">
        <w:rPr>
          <w:lang w:val="en-GB"/>
        </w:rPr>
        <w:t xml:space="preserve"> of the recommendations is for individuals in the legislative process to focus on the</w:t>
      </w:r>
      <w:r w:rsidRPr="001B4B17">
        <w:rPr>
          <w:lang w:val="en-GB"/>
        </w:rPr>
        <w:t xml:space="preserve"> substance of legislation, </w:t>
      </w:r>
      <w:r w:rsidRPr="00010481">
        <w:rPr>
          <w:lang w:val="en-GB"/>
        </w:rPr>
        <w:t xml:space="preserve">restoring the original intention behind the short titling of legislation: for titles to be used as referential devices in conversation, writing, debate or in the statute book. </w:t>
      </w:r>
      <w:r w:rsidR="006B6C5B">
        <w:rPr>
          <w:lang w:val="en-GB"/>
        </w:rPr>
        <w:t>T</w:t>
      </w:r>
      <w:r w:rsidR="0030616F">
        <w:rPr>
          <w:lang w:val="en-GB"/>
        </w:rPr>
        <w:t xml:space="preserve">he standards </w:t>
      </w:r>
      <w:r w:rsidR="006B6C5B">
        <w:rPr>
          <w:lang w:val="en-GB"/>
        </w:rPr>
        <w:t xml:space="preserve">above </w:t>
      </w:r>
      <w:r w:rsidR="0030616F">
        <w:rPr>
          <w:lang w:val="en-GB"/>
        </w:rPr>
        <w:t>could be</w:t>
      </w:r>
      <w:r w:rsidR="009268BA">
        <w:rPr>
          <w:lang w:val="en-GB"/>
        </w:rPr>
        <w:t xml:space="preserve"> easily</w:t>
      </w:r>
      <w:r w:rsidR="0030616F">
        <w:rPr>
          <w:lang w:val="en-GB"/>
        </w:rPr>
        <w:t xml:space="preserve"> implemented </w:t>
      </w:r>
      <w:r w:rsidR="00B12309">
        <w:rPr>
          <w:lang w:val="en-GB"/>
        </w:rPr>
        <w:t>though a number of methods</w:t>
      </w:r>
      <w:r w:rsidR="0030616F">
        <w:rPr>
          <w:lang w:val="en-GB"/>
        </w:rPr>
        <w:t xml:space="preserve">: </w:t>
      </w:r>
      <w:r w:rsidR="00B12309">
        <w:rPr>
          <w:lang w:val="en-GB"/>
        </w:rPr>
        <w:t>inscribed</w:t>
      </w:r>
      <w:r w:rsidR="0030616F">
        <w:rPr>
          <w:lang w:val="en-GB"/>
        </w:rPr>
        <w:t xml:space="preserve"> into an official drafting manual or a technical paper on short titles</w:t>
      </w:r>
      <w:r w:rsidR="00B12309">
        <w:rPr>
          <w:lang w:val="en-GB"/>
        </w:rPr>
        <w:t xml:space="preserve"> by the Office of the Parliamentary Counsel</w:t>
      </w:r>
      <w:r w:rsidR="0030616F">
        <w:rPr>
          <w:lang w:val="en-GB"/>
        </w:rPr>
        <w:t xml:space="preserve">; inserted into the Standing Orders of </w:t>
      </w:r>
      <w:r w:rsidR="00ED10DD">
        <w:rPr>
          <w:lang w:val="en-GB"/>
        </w:rPr>
        <w:t xml:space="preserve">both </w:t>
      </w:r>
      <w:r w:rsidR="0030616F">
        <w:rPr>
          <w:lang w:val="en-GB"/>
        </w:rPr>
        <w:t xml:space="preserve">the Commons </w:t>
      </w:r>
      <w:r w:rsidR="00ED10DD">
        <w:rPr>
          <w:lang w:val="en-GB"/>
        </w:rPr>
        <w:t>and</w:t>
      </w:r>
      <w:r w:rsidR="0030616F">
        <w:rPr>
          <w:lang w:val="en-GB"/>
        </w:rPr>
        <w:t xml:space="preserve"> Lords; placed into the Cabinet Office Guide to Making Legislation; or </w:t>
      </w:r>
      <w:r w:rsidR="00B12309">
        <w:rPr>
          <w:lang w:val="en-GB"/>
        </w:rPr>
        <w:t xml:space="preserve">even </w:t>
      </w:r>
      <w:r w:rsidR="00ED10DD">
        <w:rPr>
          <w:lang w:val="en-GB"/>
        </w:rPr>
        <w:t>inscribed through an official Act of Parliament</w:t>
      </w:r>
      <w:r w:rsidR="00B12309">
        <w:rPr>
          <w:lang w:val="en-GB"/>
        </w:rPr>
        <w:t xml:space="preserve">. </w:t>
      </w:r>
    </w:p>
    <w:p w:rsidR="00364821" w:rsidRDefault="00364821" w:rsidP="00270C2B">
      <w:pPr>
        <w:pStyle w:val="NoSpacing"/>
        <w:spacing w:line="480" w:lineRule="auto"/>
        <w:ind w:firstLine="720"/>
        <w:rPr>
          <w:lang w:val="en-GB"/>
        </w:rPr>
      </w:pPr>
    </w:p>
    <w:p w:rsidR="00364821" w:rsidRPr="00364821" w:rsidRDefault="009268BA" w:rsidP="009268BA">
      <w:pPr>
        <w:pStyle w:val="NoSpacing"/>
        <w:spacing w:line="480" w:lineRule="auto"/>
        <w:jc w:val="center"/>
        <w:rPr>
          <w:rFonts w:ascii="Palatino Linotype" w:hAnsi="Palatino Linotype"/>
          <w:sz w:val="32"/>
          <w:szCs w:val="32"/>
          <w:lang w:val="en-GB"/>
        </w:rPr>
      </w:pPr>
      <w:r>
        <w:rPr>
          <w:rFonts w:ascii="Palatino Linotype" w:hAnsi="Palatino Linotype"/>
          <w:sz w:val="32"/>
          <w:szCs w:val="32"/>
          <w:lang w:val="en-GB"/>
        </w:rPr>
        <w:t>Complementary</w:t>
      </w:r>
      <w:r w:rsidR="00364821" w:rsidRPr="00364821">
        <w:rPr>
          <w:rFonts w:ascii="Palatino Linotype" w:hAnsi="Palatino Linotype"/>
          <w:sz w:val="32"/>
          <w:szCs w:val="32"/>
          <w:lang w:val="en-GB"/>
        </w:rPr>
        <w:t xml:space="preserve"> Commonwealth Standards</w:t>
      </w:r>
    </w:p>
    <w:p w:rsidR="00270C2B" w:rsidRDefault="00764358" w:rsidP="000F271B">
      <w:pPr>
        <w:pStyle w:val="NoSpacing"/>
        <w:spacing w:line="480" w:lineRule="auto"/>
        <w:jc w:val="both"/>
        <w:rPr>
          <w:lang w:val="en-GB"/>
        </w:rPr>
      </w:pPr>
      <w:r>
        <w:rPr>
          <w:lang w:val="en-GB"/>
        </w:rPr>
        <w:t>Other Commonwealth countries can also provide guidance in regard to such matters</w:t>
      </w:r>
      <w:r w:rsidR="005D5DE4">
        <w:rPr>
          <w:lang w:val="en-GB"/>
        </w:rPr>
        <w:t>.</w:t>
      </w:r>
      <w:r>
        <w:rPr>
          <w:lang w:val="en-GB"/>
        </w:rPr>
        <w:t xml:space="preserve"> </w:t>
      </w:r>
      <w:r w:rsidR="005D5DE4">
        <w:rPr>
          <w:lang w:val="en-GB"/>
        </w:rPr>
        <w:t>In fact, they</w:t>
      </w:r>
      <w:r w:rsidR="00270C2B">
        <w:rPr>
          <w:lang w:val="en-GB"/>
        </w:rPr>
        <w:t xml:space="preserve"> need look no further than their neighbours to the north f</w:t>
      </w:r>
      <w:r>
        <w:rPr>
          <w:lang w:val="en-GB"/>
        </w:rPr>
        <w:t xml:space="preserve">or possible short title advice: Scotland uses merely one sentence to </w:t>
      </w:r>
      <w:r w:rsidR="006B6C5B">
        <w:rPr>
          <w:lang w:val="en-GB"/>
        </w:rPr>
        <w:t>eliminate</w:t>
      </w:r>
      <w:r>
        <w:rPr>
          <w:lang w:val="en-GB"/>
        </w:rPr>
        <w:t xml:space="preserve"> promotional or political short titles. </w:t>
      </w:r>
      <w:r w:rsidR="001D503B">
        <w:rPr>
          <w:lang w:val="en-GB"/>
        </w:rPr>
        <w:t>Although</w:t>
      </w:r>
      <w:r w:rsidR="000405F6">
        <w:rPr>
          <w:lang w:val="en-GB"/>
        </w:rPr>
        <w:t xml:space="preserve">, this sentence </w:t>
      </w:r>
      <w:r w:rsidR="00484DEE">
        <w:rPr>
          <w:lang w:val="en-GB"/>
        </w:rPr>
        <w:t>is located</w:t>
      </w:r>
      <w:r w:rsidR="000405F6">
        <w:rPr>
          <w:lang w:val="en-GB"/>
        </w:rPr>
        <w:t xml:space="preserve"> within the larger context of how the S</w:t>
      </w:r>
      <w:r>
        <w:rPr>
          <w:lang w:val="en-GB"/>
        </w:rPr>
        <w:t>cottish Parliament wants their B</w:t>
      </w:r>
      <w:r w:rsidR="000405F6">
        <w:rPr>
          <w:lang w:val="en-GB"/>
        </w:rPr>
        <w:t xml:space="preserve">ills presented. </w:t>
      </w:r>
      <w:r>
        <w:rPr>
          <w:lang w:val="en-GB"/>
        </w:rPr>
        <w:t>All B</w:t>
      </w:r>
      <w:r w:rsidR="00270C2B" w:rsidRPr="00541E60">
        <w:rPr>
          <w:lang w:val="en-GB"/>
        </w:rPr>
        <w:t xml:space="preserve">ills introduced to the Scottish Parliament must be in </w:t>
      </w:r>
      <w:r w:rsidR="00270C2B">
        <w:rPr>
          <w:lang w:val="en-GB"/>
        </w:rPr>
        <w:t>‘</w:t>
      </w:r>
      <w:r w:rsidR="00270C2B" w:rsidRPr="00541E60">
        <w:rPr>
          <w:lang w:val="en-GB"/>
        </w:rPr>
        <w:t>proper</w:t>
      </w:r>
      <w:r w:rsidR="00270C2B">
        <w:rPr>
          <w:lang w:val="en-GB"/>
        </w:rPr>
        <w:t>’</w:t>
      </w:r>
      <w:r w:rsidR="00270C2B" w:rsidRPr="00541E60">
        <w:rPr>
          <w:lang w:val="en-GB"/>
        </w:rPr>
        <w:t xml:space="preserve"> form.</w:t>
      </w:r>
      <w:r w:rsidR="00270C2B">
        <w:rPr>
          <w:lang w:val="en-GB"/>
        </w:rPr>
        <w:t xml:space="preserve"> </w:t>
      </w:r>
      <w:r w:rsidR="00270C2B" w:rsidRPr="00541E60">
        <w:rPr>
          <w:lang w:val="en-GB"/>
        </w:rPr>
        <w:t xml:space="preserve">These regulations were introduced under Standing Orders of Rules 9.2.3 and 9A.1.4, and they have </w:t>
      </w:r>
      <w:r w:rsidR="00C7514B">
        <w:rPr>
          <w:lang w:val="en-GB"/>
        </w:rPr>
        <w:t>considerable</w:t>
      </w:r>
      <w:r w:rsidR="00270C2B">
        <w:rPr>
          <w:lang w:val="en-GB"/>
        </w:rPr>
        <w:t xml:space="preserve"> </w:t>
      </w:r>
      <w:r>
        <w:rPr>
          <w:lang w:val="en-GB"/>
        </w:rPr>
        <w:t>implications for B</w:t>
      </w:r>
      <w:r w:rsidR="00270C2B" w:rsidRPr="00541E60">
        <w:rPr>
          <w:lang w:val="en-GB"/>
        </w:rPr>
        <w:t>ill titles.</w:t>
      </w:r>
      <w:r w:rsidR="00270C2B">
        <w:rPr>
          <w:lang w:val="en-GB"/>
        </w:rPr>
        <w:t xml:space="preserve"> </w:t>
      </w:r>
      <w:r w:rsidR="00270C2B" w:rsidRPr="00541E60">
        <w:rPr>
          <w:lang w:val="en-GB"/>
        </w:rPr>
        <w:t xml:space="preserve">The </w:t>
      </w:r>
      <w:r w:rsidR="00270C2B">
        <w:rPr>
          <w:lang w:val="en-GB"/>
        </w:rPr>
        <w:t>‘</w:t>
      </w:r>
      <w:r w:rsidR="00270C2B" w:rsidRPr="00541E60">
        <w:rPr>
          <w:lang w:val="en-GB"/>
        </w:rPr>
        <w:t>Presiding Officer’s Recommendations on the Content of Bills</w:t>
      </w:r>
      <w:r w:rsidR="00270C2B">
        <w:rPr>
          <w:lang w:val="en-GB"/>
        </w:rPr>
        <w:t>’</w:t>
      </w:r>
      <w:r w:rsidR="00270C2B" w:rsidRPr="00541E60">
        <w:rPr>
          <w:lang w:val="en-GB"/>
        </w:rPr>
        <w:t xml:space="preserve"> explicitly states that </w:t>
      </w:r>
      <w:r w:rsidR="00270C2B">
        <w:rPr>
          <w:lang w:val="en-GB"/>
        </w:rPr>
        <w:t>‘</w:t>
      </w:r>
      <w:r w:rsidR="00270C2B" w:rsidRPr="00872CFB">
        <w:rPr>
          <w:b/>
          <w:i/>
          <w:lang w:val="en-GB"/>
        </w:rPr>
        <w:t>the text of a Bill – including both the short and long titles – should be in neutral terms and should not contain material intended to promote or justify the policy behind the Bill, or to explain its effect</w:t>
      </w:r>
      <w:r w:rsidR="00270C2B" w:rsidRPr="00872CFB">
        <w:rPr>
          <w:i/>
          <w:lang w:val="en-GB"/>
        </w:rPr>
        <w:t>’</w:t>
      </w:r>
      <w:r w:rsidR="00270C2B" w:rsidRPr="00541E60">
        <w:rPr>
          <w:lang w:val="en-GB"/>
        </w:rPr>
        <w:t>.</w:t>
      </w:r>
      <w:r w:rsidR="00270C2B" w:rsidRPr="00541E60">
        <w:rPr>
          <w:rStyle w:val="FootnoteReference"/>
          <w:lang w:val="en-GB"/>
        </w:rPr>
        <w:footnoteReference w:id="54"/>
      </w:r>
      <w:r w:rsidR="00270C2B">
        <w:rPr>
          <w:lang w:val="en-GB"/>
        </w:rPr>
        <w:t xml:space="preserve"> </w:t>
      </w:r>
      <w:r w:rsidR="00484DEE">
        <w:rPr>
          <w:lang w:val="en-GB"/>
        </w:rPr>
        <w:t xml:space="preserve">Thus, the Presiding Officer has ultimate responsibility over the content of short titles, and this is clearly delineated. </w:t>
      </w:r>
      <w:r w:rsidR="00270C2B" w:rsidRPr="00541E60">
        <w:rPr>
          <w:lang w:val="en-GB"/>
        </w:rPr>
        <w:t xml:space="preserve">This </w:t>
      </w:r>
      <w:r w:rsidR="00270C2B">
        <w:rPr>
          <w:lang w:val="en-GB"/>
        </w:rPr>
        <w:t>regulation</w:t>
      </w:r>
      <w:r w:rsidR="00270C2B" w:rsidRPr="00541E60">
        <w:rPr>
          <w:lang w:val="en-GB"/>
        </w:rPr>
        <w:t xml:space="preserve"> is a </w:t>
      </w:r>
      <w:r>
        <w:rPr>
          <w:lang w:val="en-GB"/>
        </w:rPr>
        <w:t>significant</w:t>
      </w:r>
      <w:r w:rsidR="00270C2B" w:rsidRPr="00541E60">
        <w:rPr>
          <w:lang w:val="en-GB"/>
        </w:rPr>
        <w:t xml:space="preserve"> effort to keep the Scottish statute</w:t>
      </w:r>
      <w:r w:rsidR="00270C2B">
        <w:rPr>
          <w:lang w:val="en-GB"/>
        </w:rPr>
        <w:t xml:space="preserve"> book free from overt policy </w:t>
      </w:r>
      <w:r w:rsidR="00270C2B" w:rsidRPr="00541E60">
        <w:rPr>
          <w:lang w:val="en-GB"/>
        </w:rPr>
        <w:t>statements</w:t>
      </w:r>
      <w:r w:rsidR="001D503B">
        <w:rPr>
          <w:lang w:val="en-GB"/>
        </w:rPr>
        <w:t xml:space="preserve">, and establishes the </w:t>
      </w:r>
      <w:r w:rsidR="00C7514B">
        <w:rPr>
          <w:lang w:val="en-GB"/>
        </w:rPr>
        <w:t xml:space="preserve">standard desired for short titles, </w:t>
      </w:r>
      <w:r w:rsidR="001D503B">
        <w:rPr>
          <w:lang w:val="en-GB"/>
        </w:rPr>
        <w:t>long titles</w:t>
      </w:r>
      <w:r w:rsidR="00C7514B">
        <w:rPr>
          <w:lang w:val="en-GB"/>
        </w:rPr>
        <w:t xml:space="preserve"> and Bill text</w:t>
      </w:r>
      <w:r w:rsidR="00270C2B" w:rsidRPr="00541E60">
        <w:rPr>
          <w:lang w:val="en-GB"/>
        </w:rPr>
        <w:t>.</w:t>
      </w:r>
      <w:r w:rsidR="00270C2B">
        <w:rPr>
          <w:lang w:val="en-GB"/>
        </w:rPr>
        <w:t xml:space="preserve"> Westminster </w:t>
      </w:r>
      <w:r w:rsidR="000405F6">
        <w:rPr>
          <w:lang w:val="en-GB"/>
        </w:rPr>
        <w:t xml:space="preserve">does </w:t>
      </w:r>
      <w:r>
        <w:rPr>
          <w:lang w:val="en-GB"/>
        </w:rPr>
        <w:t xml:space="preserve">not </w:t>
      </w:r>
      <w:r w:rsidR="00270C2B" w:rsidRPr="00541E60">
        <w:rPr>
          <w:lang w:val="en-GB"/>
        </w:rPr>
        <w:t xml:space="preserve">have </w:t>
      </w:r>
      <w:r w:rsidR="00270C2B">
        <w:rPr>
          <w:lang w:val="en-GB"/>
        </w:rPr>
        <w:t xml:space="preserve">similar </w:t>
      </w:r>
      <w:r w:rsidR="00270C2B" w:rsidRPr="00541E60">
        <w:rPr>
          <w:lang w:val="en-GB"/>
        </w:rPr>
        <w:t xml:space="preserve">rules or recommendations in relation to the ‘proper form’ of </w:t>
      </w:r>
      <w:r w:rsidR="001D503B">
        <w:rPr>
          <w:lang w:val="en-GB"/>
        </w:rPr>
        <w:t>Bills</w:t>
      </w:r>
      <w:r w:rsidR="00270C2B" w:rsidRPr="00541E60">
        <w:rPr>
          <w:lang w:val="en-GB"/>
        </w:rPr>
        <w:t xml:space="preserve">; and they certainly do not have specific rules related to eliminating </w:t>
      </w:r>
      <w:r w:rsidR="00270C2B">
        <w:rPr>
          <w:lang w:val="en-GB"/>
        </w:rPr>
        <w:t>promotional</w:t>
      </w:r>
      <w:r w:rsidR="00A50746">
        <w:rPr>
          <w:lang w:val="en-GB"/>
        </w:rPr>
        <w:t xml:space="preserve"> language from both </w:t>
      </w:r>
      <w:r w:rsidR="00270C2B" w:rsidRPr="00541E60">
        <w:rPr>
          <w:lang w:val="en-GB"/>
        </w:rPr>
        <w:t>titles</w:t>
      </w:r>
      <w:r w:rsidR="00A50746">
        <w:rPr>
          <w:lang w:val="en-GB"/>
        </w:rPr>
        <w:t xml:space="preserve"> and Bill text</w:t>
      </w:r>
      <w:r w:rsidR="00270C2B" w:rsidRPr="00541E60">
        <w:rPr>
          <w:lang w:val="en-GB"/>
        </w:rPr>
        <w:t xml:space="preserve">. </w:t>
      </w:r>
    </w:p>
    <w:p w:rsidR="00764358" w:rsidRPr="00010481" w:rsidRDefault="00C7514B" w:rsidP="003C71F5">
      <w:pPr>
        <w:pStyle w:val="NoSpacing"/>
        <w:spacing w:line="480" w:lineRule="auto"/>
        <w:ind w:firstLine="360"/>
        <w:jc w:val="both"/>
        <w:rPr>
          <w:lang w:val="en-GB"/>
        </w:rPr>
      </w:pPr>
      <w:r>
        <w:rPr>
          <w:lang w:val="en-GB"/>
        </w:rPr>
        <w:t>A</w:t>
      </w:r>
      <w:r w:rsidR="005D5DE4">
        <w:rPr>
          <w:lang w:val="en-GB"/>
        </w:rPr>
        <w:t xml:space="preserve">dvice </w:t>
      </w:r>
      <w:r>
        <w:rPr>
          <w:lang w:val="en-GB"/>
        </w:rPr>
        <w:t xml:space="preserve">also lies </w:t>
      </w:r>
      <w:r w:rsidR="005D5DE4">
        <w:rPr>
          <w:lang w:val="en-GB"/>
        </w:rPr>
        <w:t>outside the United Kingdom</w:t>
      </w:r>
      <w:r w:rsidR="00557E63">
        <w:rPr>
          <w:lang w:val="en-GB"/>
        </w:rPr>
        <w:t xml:space="preserve">. </w:t>
      </w:r>
      <w:r w:rsidR="00764358">
        <w:rPr>
          <w:lang w:val="en-GB"/>
        </w:rPr>
        <w:t xml:space="preserve">In 2006 the Australian Parliamentary Counsel wrote Drafting Direction 1.1, which was in reference to </w:t>
      </w:r>
      <w:r w:rsidR="005D5DE4">
        <w:rPr>
          <w:lang w:val="en-GB"/>
        </w:rPr>
        <w:t xml:space="preserve">the </w:t>
      </w:r>
      <w:r w:rsidR="00764358">
        <w:rPr>
          <w:lang w:val="en-GB"/>
        </w:rPr>
        <w:t xml:space="preserve">long </w:t>
      </w:r>
      <w:r w:rsidR="00412EB2">
        <w:rPr>
          <w:lang w:val="en-GB"/>
        </w:rPr>
        <w:t xml:space="preserve">titles </w:t>
      </w:r>
      <w:r w:rsidR="00764358">
        <w:rPr>
          <w:lang w:val="en-GB"/>
        </w:rPr>
        <w:t xml:space="preserve">and short titles of Bills. In reference to short titles, they note that ‘As a general rule, you should take particular care when naming Bills to ensure that the names you choose are informative as possible (within reason) and do not cause unnecessary confusion to Parliament or to any other </w:t>
      </w:r>
      <w:r w:rsidR="00764358">
        <w:rPr>
          <w:lang w:val="en-GB"/>
        </w:rPr>
        <w:lastRenderedPageBreak/>
        <w:t>users of legislation’.</w:t>
      </w:r>
      <w:r w:rsidR="00764358">
        <w:rPr>
          <w:rStyle w:val="FootnoteReference"/>
          <w:lang w:val="en-GB"/>
        </w:rPr>
        <w:footnoteReference w:id="55"/>
      </w:r>
      <w:r w:rsidR="00764358">
        <w:rPr>
          <w:lang w:val="en-GB"/>
        </w:rPr>
        <w:t xml:space="preserve"> </w:t>
      </w:r>
      <w:r w:rsidR="00412EB2">
        <w:rPr>
          <w:lang w:val="en-GB"/>
        </w:rPr>
        <w:t xml:space="preserve">Thus, </w:t>
      </w:r>
      <w:r w:rsidR="005D5DE4">
        <w:rPr>
          <w:lang w:val="en-GB"/>
        </w:rPr>
        <w:t>the Australian</w:t>
      </w:r>
      <w:r w:rsidR="00412EB2">
        <w:rPr>
          <w:lang w:val="en-GB"/>
        </w:rPr>
        <w:t xml:space="preserve"> standard is ‘informative as possible’ and not to cause confusion with those interacting with legislation. </w:t>
      </w:r>
      <w:r w:rsidR="00764358">
        <w:rPr>
          <w:lang w:val="en-GB"/>
        </w:rPr>
        <w:t xml:space="preserve">The </w:t>
      </w:r>
      <w:r w:rsidR="00412EB2">
        <w:rPr>
          <w:lang w:val="en-GB"/>
        </w:rPr>
        <w:t xml:space="preserve">current </w:t>
      </w:r>
      <w:r w:rsidR="00764358">
        <w:rPr>
          <w:lang w:val="en-GB"/>
        </w:rPr>
        <w:t>Canadian drafting manual also discusses short titles. It notes that such titles are ‘used to identify the Act when discussing it or referring to it in other legislation’, and further state</w:t>
      </w:r>
      <w:r w:rsidR="000F271B">
        <w:rPr>
          <w:lang w:val="en-GB"/>
        </w:rPr>
        <w:t>s</w:t>
      </w:r>
      <w:r w:rsidR="00764358">
        <w:rPr>
          <w:lang w:val="en-GB"/>
        </w:rPr>
        <w:t xml:space="preserve"> that it ‘should succinctly indicate the Act’s subject matter’.</w:t>
      </w:r>
      <w:r w:rsidR="00764358">
        <w:rPr>
          <w:rStyle w:val="FootnoteReference"/>
          <w:lang w:val="en-GB"/>
        </w:rPr>
        <w:footnoteReference w:id="56"/>
      </w:r>
      <w:r w:rsidR="00764358">
        <w:rPr>
          <w:lang w:val="en-GB"/>
        </w:rPr>
        <w:t xml:space="preserve"> The latter directive, </w:t>
      </w:r>
      <w:r w:rsidR="00412EB2">
        <w:rPr>
          <w:lang w:val="en-GB"/>
        </w:rPr>
        <w:t xml:space="preserve">the curt </w:t>
      </w:r>
      <w:r w:rsidR="005D5DE4">
        <w:rPr>
          <w:lang w:val="en-GB"/>
        </w:rPr>
        <w:t>but</w:t>
      </w:r>
      <w:r w:rsidR="00412EB2">
        <w:rPr>
          <w:lang w:val="en-GB"/>
        </w:rPr>
        <w:t xml:space="preserve"> effective Canadian standard in regard to subject matter, is also not</w:t>
      </w:r>
      <w:r w:rsidR="00764358">
        <w:rPr>
          <w:lang w:val="en-GB"/>
        </w:rPr>
        <w:t xml:space="preserve"> mentioned by Westminster. Nevertheless</w:t>
      </w:r>
      <w:r w:rsidR="00412EB2">
        <w:rPr>
          <w:lang w:val="en-GB"/>
        </w:rPr>
        <w:t xml:space="preserve">, the above information </w:t>
      </w:r>
      <w:r w:rsidR="002521C3">
        <w:rPr>
          <w:lang w:val="en-GB"/>
        </w:rPr>
        <w:t>demonstrates</w:t>
      </w:r>
      <w:r w:rsidR="00412EB2">
        <w:rPr>
          <w:lang w:val="en-GB"/>
        </w:rPr>
        <w:t xml:space="preserve"> that other com</w:t>
      </w:r>
      <w:r w:rsidR="002521C3">
        <w:rPr>
          <w:lang w:val="en-GB"/>
        </w:rPr>
        <w:t xml:space="preserve">monwealth countries have at </w:t>
      </w:r>
      <w:r w:rsidR="00412EB2">
        <w:rPr>
          <w:lang w:val="en-GB"/>
        </w:rPr>
        <w:t>least some standards</w:t>
      </w:r>
      <w:r w:rsidR="00764358">
        <w:rPr>
          <w:lang w:val="en-GB"/>
        </w:rPr>
        <w:t>, however brief,</w:t>
      </w:r>
      <w:r w:rsidR="00412EB2">
        <w:rPr>
          <w:lang w:val="en-GB"/>
        </w:rPr>
        <w:t xml:space="preserve"> for their short titles. </w:t>
      </w:r>
    </w:p>
    <w:p w:rsidR="00764358" w:rsidRPr="00010481" w:rsidRDefault="00764358" w:rsidP="00764358">
      <w:pPr>
        <w:pStyle w:val="NoSpacing"/>
        <w:spacing w:line="480" w:lineRule="auto"/>
        <w:rPr>
          <w:lang w:val="en-GB"/>
        </w:rPr>
      </w:pPr>
    </w:p>
    <w:p w:rsidR="00764358" w:rsidRPr="00667D96" w:rsidRDefault="00764358" w:rsidP="00764358">
      <w:pPr>
        <w:pStyle w:val="NoSpacing"/>
        <w:spacing w:line="480" w:lineRule="auto"/>
        <w:rPr>
          <w:rStyle w:val="apple-converted-space"/>
          <w:rFonts w:ascii="Palatino Linotype" w:hAnsi="Palatino Linotype"/>
          <w:sz w:val="32"/>
          <w:szCs w:val="32"/>
          <w:lang w:val="en-GB"/>
        </w:rPr>
      </w:pPr>
      <w:r w:rsidRPr="00010481">
        <w:rPr>
          <w:rFonts w:ascii="Palatino Linotype" w:hAnsi="Palatino Linotype"/>
          <w:sz w:val="32"/>
          <w:szCs w:val="32"/>
          <w:lang w:val="en-GB"/>
        </w:rPr>
        <w:t>Conclusion</w:t>
      </w:r>
    </w:p>
    <w:p w:rsidR="00764358" w:rsidRDefault="00764358" w:rsidP="000F271B">
      <w:pPr>
        <w:pStyle w:val="NoSpacing"/>
        <w:spacing w:line="480" w:lineRule="auto"/>
        <w:jc w:val="both"/>
        <w:rPr>
          <w:rStyle w:val="apple-converted-space"/>
          <w:bCs/>
          <w:lang w:val="en-GB"/>
        </w:rPr>
      </w:pPr>
      <w:r>
        <w:rPr>
          <w:rStyle w:val="apple-converted-space"/>
          <w:bCs/>
          <w:lang w:val="en-GB"/>
        </w:rPr>
        <w:t xml:space="preserve">This article has demonstrated that Westminster does not have adequate standards for its </w:t>
      </w:r>
      <w:r w:rsidR="005046EC">
        <w:rPr>
          <w:rStyle w:val="apple-converted-space"/>
          <w:bCs/>
          <w:lang w:val="en-GB"/>
        </w:rPr>
        <w:t xml:space="preserve">short titles or any clarified </w:t>
      </w:r>
      <w:r>
        <w:rPr>
          <w:rStyle w:val="apple-converted-space"/>
          <w:bCs/>
          <w:lang w:val="en-GB"/>
        </w:rPr>
        <w:t xml:space="preserve">procedures to follow should a short title dispute arise between drafters, Ministers and/or House Authorities. This is a </w:t>
      </w:r>
      <w:r w:rsidR="005046EC">
        <w:rPr>
          <w:rStyle w:val="apple-converted-space"/>
          <w:bCs/>
          <w:lang w:val="en-GB"/>
        </w:rPr>
        <w:t>foreboding</w:t>
      </w:r>
      <w:r>
        <w:rPr>
          <w:rStyle w:val="apple-converted-space"/>
          <w:bCs/>
          <w:lang w:val="en-GB"/>
        </w:rPr>
        <w:t xml:space="preserve"> </w:t>
      </w:r>
      <w:r w:rsidR="005046EC">
        <w:rPr>
          <w:rStyle w:val="apple-converted-space"/>
          <w:bCs/>
          <w:lang w:val="en-GB"/>
        </w:rPr>
        <w:t>situation</w:t>
      </w:r>
      <w:r>
        <w:rPr>
          <w:rStyle w:val="apple-converted-space"/>
          <w:bCs/>
          <w:lang w:val="en-GB"/>
        </w:rPr>
        <w:t>, as unchecked short titles can eventually transition into unwieldy promotional and political short titles (i.e. see the US Congress).</w:t>
      </w:r>
      <w:r>
        <w:rPr>
          <w:rStyle w:val="FootnoteReference"/>
          <w:bCs/>
          <w:lang w:val="en-GB"/>
        </w:rPr>
        <w:footnoteReference w:id="57"/>
      </w:r>
      <w:r>
        <w:rPr>
          <w:rStyle w:val="apple-converted-space"/>
          <w:bCs/>
          <w:lang w:val="en-GB"/>
        </w:rPr>
        <w:t xml:space="preserve"> </w:t>
      </w:r>
      <w:r w:rsidR="005046EC">
        <w:rPr>
          <w:rStyle w:val="apple-converted-space"/>
          <w:bCs/>
          <w:lang w:val="en-GB"/>
        </w:rPr>
        <w:t>On a larger level, this article has revealed that</w:t>
      </w:r>
      <w:r>
        <w:rPr>
          <w:rStyle w:val="apple-converted-space"/>
          <w:bCs/>
          <w:lang w:val="en-GB"/>
        </w:rPr>
        <w:t xml:space="preserve"> contrary to other commonwealth nations, the Westminster Parliament currently does not have a bill drafting manual or an</w:t>
      </w:r>
      <w:r w:rsidR="000F271B">
        <w:rPr>
          <w:rStyle w:val="apple-converted-space"/>
          <w:bCs/>
          <w:lang w:val="en-GB"/>
        </w:rPr>
        <w:t xml:space="preserve"> official proper form by which B</w:t>
      </w:r>
      <w:r>
        <w:rPr>
          <w:rStyle w:val="apple-converted-space"/>
          <w:bCs/>
          <w:lang w:val="en-GB"/>
        </w:rPr>
        <w:t xml:space="preserve">ills should be drafted. Relying on convention is fine for certain matters, but not having </w:t>
      </w:r>
      <w:r w:rsidR="0066692A">
        <w:rPr>
          <w:rStyle w:val="apple-converted-space"/>
          <w:bCs/>
          <w:lang w:val="en-GB"/>
        </w:rPr>
        <w:t xml:space="preserve">either of these mechanisms </w:t>
      </w:r>
      <w:r>
        <w:rPr>
          <w:rStyle w:val="apple-converted-space"/>
          <w:bCs/>
          <w:lang w:val="en-GB"/>
        </w:rPr>
        <w:t xml:space="preserve">in a parliamentary democracy which relies on the legal doctrine of legislative supremacy </w:t>
      </w:r>
      <w:r w:rsidR="0066692A">
        <w:rPr>
          <w:rStyle w:val="apple-converted-space"/>
          <w:bCs/>
          <w:lang w:val="en-GB"/>
        </w:rPr>
        <w:t xml:space="preserve">of Parliament </w:t>
      </w:r>
      <w:r>
        <w:rPr>
          <w:rStyle w:val="apple-converted-space"/>
          <w:bCs/>
          <w:lang w:val="en-GB"/>
        </w:rPr>
        <w:t xml:space="preserve">seems altogether quite odd. </w:t>
      </w:r>
    </w:p>
    <w:p w:rsidR="000B2E24" w:rsidRPr="00010481" w:rsidRDefault="000F271B" w:rsidP="003C71F5">
      <w:pPr>
        <w:pStyle w:val="NoSpacing"/>
        <w:spacing w:line="480" w:lineRule="auto"/>
        <w:ind w:firstLine="360"/>
        <w:jc w:val="both"/>
        <w:rPr>
          <w:lang w:val="en-GB"/>
        </w:rPr>
      </w:pPr>
      <w:r>
        <w:rPr>
          <w:lang w:val="en-GB"/>
        </w:rPr>
        <w:lastRenderedPageBreak/>
        <w:t>Describing B</w:t>
      </w:r>
      <w:r w:rsidR="000B2E24" w:rsidRPr="00010481">
        <w:rPr>
          <w:lang w:val="en-GB"/>
        </w:rPr>
        <w:t xml:space="preserve">ills with insufficiently informative titles, one </w:t>
      </w:r>
      <w:r w:rsidR="00802796">
        <w:rPr>
          <w:lang w:val="en-GB"/>
        </w:rPr>
        <w:t>of the MPs I interviewed</w:t>
      </w:r>
      <w:r w:rsidR="00764358">
        <w:rPr>
          <w:lang w:val="en-GB"/>
        </w:rPr>
        <w:t xml:space="preserve"> </w:t>
      </w:r>
      <w:r w:rsidR="000B2E24" w:rsidRPr="00010481">
        <w:rPr>
          <w:lang w:val="en-GB"/>
        </w:rPr>
        <w:t>declared that ‘if you think the title is way off, you can just vote the legislation out…or it becomes law’.</w:t>
      </w:r>
      <w:r w:rsidR="000B2E24" w:rsidRPr="00010481">
        <w:rPr>
          <w:rStyle w:val="FootnoteReference"/>
          <w:lang w:val="en-GB"/>
        </w:rPr>
        <w:footnoteReference w:id="58"/>
      </w:r>
      <w:r w:rsidR="000B2E24" w:rsidRPr="00010481">
        <w:rPr>
          <w:lang w:val="en-GB"/>
        </w:rPr>
        <w:t xml:space="preserve"> This statement is deeply flawed. Surely some excellent (or even sufficient) legislation suffers from insufficient titling. If legislators in any le</w:t>
      </w:r>
      <w:r>
        <w:rPr>
          <w:lang w:val="en-GB"/>
        </w:rPr>
        <w:t>gislative body are voting down B</w:t>
      </w:r>
      <w:r w:rsidR="000B2E24" w:rsidRPr="00010481">
        <w:rPr>
          <w:lang w:val="en-GB"/>
        </w:rPr>
        <w:t xml:space="preserve">ills because of insufficient titles and not because they fundamentally disagree with the substance of the legislation, then there remains a major flaw in standards by which short titles are inscribed. Thus, implementing a set of rules or regulatory guidelines in regard to </w:t>
      </w:r>
      <w:r w:rsidR="002B244B">
        <w:rPr>
          <w:lang w:val="en-GB"/>
        </w:rPr>
        <w:t>such</w:t>
      </w:r>
      <w:r w:rsidR="000B2E24" w:rsidRPr="00010481">
        <w:rPr>
          <w:lang w:val="en-GB"/>
        </w:rPr>
        <w:t xml:space="preserve"> titles that provide a necessary informational component to both</w:t>
      </w:r>
      <w:r>
        <w:rPr>
          <w:lang w:val="en-GB"/>
        </w:rPr>
        <w:t xml:space="preserve"> lawmakers and citizens of the B</w:t>
      </w:r>
      <w:r w:rsidR="000B2E24" w:rsidRPr="00010481">
        <w:rPr>
          <w:lang w:val="en-GB"/>
        </w:rPr>
        <w:t>ills introduced and the laws that govern them would be of much constitutio</w:t>
      </w:r>
      <w:r w:rsidR="000B2E24">
        <w:rPr>
          <w:lang w:val="en-GB"/>
        </w:rPr>
        <w:t>nal benefit</w:t>
      </w:r>
      <w:r w:rsidR="000B2E24" w:rsidRPr="00010481">
        <w:rPr>
          <w:lang w:val="en-GB"/>
        </w:rPr>
        <w:t>. As scholar</w:t>
      </w:r>
      <w:r w:rsidR="0040452B">
        <w:rPr>
          <w:lang w:val="en-GB"/>
        </w:rPr>
        <w:t>s</w:t>
      </w:r>
      <w:r w:rsidR="000B2E24" w:rsidRPr="00010481">
        <w:rPr>
          <w:lang w:val="en-GB"/>
        </w:rPr>
        <w:t xml:space="preserve"> </w:t>
      </w:r>
      <w:r w:rsidR="0040452B">
        <w:rPr>
          <w:lang w:val="en-GB"/>
        </w:rPr>
        <w:t>have pointed</w:t>
      </w:r>
      <w:r w:rsidR="000B2E24" w:rsidRPr="00010481">
        <w:rPr>
          <w:lang w:val="en-GB"/>
        </w:rPr>
        <w:t xml:space="preserve"> out, ‘[t]hat legislation should be accessible, intelligible and clear to all audiences is both a democratic right and also an essential prerequisite in the process of making better law’.</w:t>
      </w:r>
      <w:r w:rsidR="000B2E24" w:rsidRPr="00010481">
        <w:rPr>
          <w:rStyle w:val="FootnoteReference"/>
          <w:lang w:val="en-GB"/>
        </w:rPr>
        <w:footnoteReference w:id="59"/>
      </w:r>
      <w:r w:rsidR="000B2E24">
        <w:rPr>
          <w:lang w:val="en-GB"/>
        </w:rPr>
        <w:t xml:space="preserve"> </w:t>
      </w:r>
    </w:p>
    <w:p w:rsidR="000B2E24" w:rsidRPr="002B244B" w:rsidRDefault="000B2E24" w:rsidP="00A40590">
      <w:pPr>
        <w:pStyle w:val="NoSpacing"/>
        <w:spacing w:line="480" w:lineRule="auto"/>
        <w:ind w:firstLine="360"/>
        <w:jc w:val="both"/>
        <w:rPr>
          <w:rStyle w:val="apple-converted-space"/>
          <w:lang w:val="en-GB"/>
        </w:rPr>
      </w:pPr>
      <w:r w:rsidRPr="00010481">
        <w:rPr>
          <w:lang w:val="en-GB"/>
        </w:rPr>
        <w:t xml:space="preserve">Matt </w:t>
      </w:r>
      <w:proofErr w:type="spellStart"/>
      <w:r w:rsidRPr="00010481">
        <w:rPr>
          <w:lang w:val="en-GB"/>
        </w:rPr>
        <w:t>Korris</w:t>
      </w:r>
      <w:proofErr w:type="spellEnd"/>
      <w:r w:rsidRPr="00010481">
        <w:rPr>
          <w:lang w:val="en-GB"/>
        </w:rPr>
        <w:t xml:space="preserve"> </w:t>
      </w:r>
      <w:r w:rsidR="0040452B">
        <w:rPr>
          <w:lang w:val="en-GB"/>
        </w:rPr>
        <w:t>of</w:t>
      </w:r>
      <w:r w:rsidRPr="00010481">
        <w:rPr>
          <w:lang w:val="en-GB"/>
        </w:rPr>
        <w:t xml:space="preserve"> the </w:t>
      </w:r>
      <w:proofErr w:type="spellStart"/>
      <w:r w:rsidRPr="00010481">
        <w:rPr>
          <w:lang w:val="en-GB"/>
        </w:rPr>
        <w:t>Hansard</w:t>
      </w:r>
      <w:proofErr w:type="spellEnd"/>
      <w:r w:rsidRPr="00010481">
        <w:rPr>
          <w:lang w:val="en-GB"/>
        </w:rPr>
        <w:t xml:space="preserve"> Society recently penned an article suggesting a Parliamentary Standards Committee, which could act as a </w:t>
      </w:r>
      <w:proofErr w:type="spellStart"/>
      <w:r w:rsidRPr="00010481">
        <w:rPr>
          <w:lang w:val="en-GB"/>
        </w:rPr>
        <w:t>gatekeeping</w:t>
      </w:r>
      <w:proofErr w:type="spellEnd"/>
      <w:r w:rsidRPr="00010481">
        <w:rPr>
          <w:lang w:val="en-GB"/>
        </w:rPr>
        <w:t xml:space="preserve"> mechanism that can decline to consider poorly prepared legislation.</w:t>
      </w:r>
      <w:r w:rsidRPr="00010481">
        <w:rPr>
          <w:rStyle w:val="FootnoteReference"/>
          <w:lang w:val="en-GB"/>
        </w:rPr>
        <w:footnoteReference w:id="60"/>
      </w:r>
      <w:r w:rsidR="00A40590">
        <w:rPr>
          <w:lang w:val="en-GB"/>
        </w:rPr>
        <w:t xml:space="preserve"> </w:t>
      </w:r>
      <w:r w:rsidRPr="00010481">
        <w:rPr>
          <w:lang w:val="en-GB"/>
        </w:rPr>
        <w:t xml:space="preserve">The concept of </w:t>
      </w:r>
      <w:r w:rsidR="00A40590">
        <w:rPr>
          <w:lang w:val="en-GB"/>
        </w:rPr>
        <w:t>such a</w:t>
      </w:r>
      <w:r w:rsidRPr="00010481">
        <w:rPr>
          <w:lang w:val="en-GB"/>
        </w:rPr>
        <w:t xml:space="preserve"> Committee is wholly endorsed by this </w:t>
      </w:r>
      <w:r>
        <w:rPr>
          <w:lang w:val="en-GB"/>
        </w:rPr>
        <w:t>author</w:t>
      </w:r>
      <w:r w:rsidRPr="00010481">
        <w:rPr>
          <w:lang w:val="en-GB"/>
        </w:rPr>
        <w:t xml:space="preserve">: it would be a welcome addition to the constitutional framework of the Westminster Parliament. The minimum technical preparation standards would likely mitigate some of the concerns raised by interviewees </w:t>
      </w:r>
      <w:proofErr w:type="gramStart"/>
      <w:r w:rsidRPr="00010481">
        <w:rPr>
          <w:lang w:val="en-GB"/>
        </w:rPr>
        <w:t>which</w:t>
      </w:r>
      <w:proofErr w:type="gramEnd"/>
      <w:r w:rsidRPr="00010481">
        <w:rPr>
          <w:lang w:val="en-GB"/>
        </w:rPr>
        <w:t xml:space="preserve"> w</w:t>
      </w:r>
      <w:r>
        <w:rPr>
          <w:lang w:val="en-GB"/>
        </w:rPr>
        <w:t>ere highlighted above</w:t>
      </w:r>
      <w:r w:rsidR="000F271B">
        <w:rPr>
          <w:lang w:val="en-GB"/>
        </w:rPr>
        <w:t xml:space="preserve"> and in previous publications</w:t>
      </w:r>
      <w:r w:rsidRPr="00010481">
        <w:rPr>
          <w:lang w:val="en-GB"/>
        </w:rPr>
        <w:t xml:space="preserve">. </w:t>
      </w:r>
    </w:p>
    <w:p w:rsidR="00764358" w:rsidRPr="009D2780" w:rsidRDefault="00764358" w:rsidP="00A65653">
      <w:pPr>
        <w:pStyle w:val="NoSpacing"/>
        <w:spacing w:line="480" w:lineRule="auto"/>
        <w:ind w:firstLine="360"/>
        <w:jc w:val="both"/>
        <w:rPr>
          <w:bCs/>
          <w:lang w:val="en-GB"/>
        </w:rPr>
      </w:pPr>
      <w:r>
        <w:rPr>
          <w:rStyle w:val="apple-converted-space"/>
          <w:bCs/>
          <w:lang w:val="en-GB"/>
        </w:rPr>
        <w:t xml:space="preserve">The drafter who revealed </w:t>
      </w:r>
      <w:r w:rsidR="003153F2">
        <w:rPr>
          <w:rStyle w:val="apple-converted-space"/>
          <w:bCs/>
          <w:lang w:val="en-GB"/>
        </w:rPr>
        <w:t xml:space="preserve">that he ‘quite often’ receives evocative </w:t>
      </w:r>
      <w:r w:rsidR="00356E5C">
        <w:rPr>
          <w:rStyle w:val="apple-converted-space"/>
          <w:bCs/>
          <w:lang w:val="en-GB"/>
        </w:rPr>
        <w:t xml:space="preserve">short </w:t>
      </w:r>
      <w:r w:rsidR="003153F2">
        <w:rPr>
          <w:rStyle w:val="apple-converted-space"/>
          <w:bCs/>
          <w:lang w:val="en-GB"/>
        </w:rPr>
        <w:t>title requests</w:t>
      </w:r>
      <w:r w:rsidRPr="00010481">
        <w:rPr>
          <w:rStyle w:val="apple-converted-space"/>
          <w:bCs/>
          <w:lang w:val="en-GB"/>
        </w:rPr>
        <w:t xml:space="preserve"> further </w:t>
      </w:r>
      <w:r>
        <w:rPr>
          <w:rStyle w:val="apple-converted-space"/>
          <w:bCs/>
          <w:lang w:val="en-GB"/>
        </w:rPr>
        <w:t xml:space="preserve">noted that legislating is a political process, and therefore there would always be this </w:t>
      </w:r>
      <w:r>
        <w:rPr>
          <w:rStyle w:val="apple-converted-space"/>
          <w:bCs/>
          <w:lang w:val="en-GB"/>
        </w:rPr>
        <w:lastRenderedPageBreak/>
        <w:t>tension between Ministers and drafters regarding the presentational aspects of short titles.</w:t>
      </w:r>
      <w:r>
        <w:rPr>
          <w:rStyle w:val="FootnoteReference"/>
          <w:bCs/>
          <w:lang w:val="en-GB"/>
        </w:rPr>
        <w:footnoteReference w:id="61"/>
      </w:r>
      <w:r>
        <w:rPr>
          <w:rStyle w:val="apple-converted-space"/>
          <w:bCs/>
          <w:lang w:val="en-GB"/>
        </w:rPr>
        <w:t xml:space="preserve"> </w:t>
      </w:r>
      <w:r w:rsidRPr="00010481">
        <w:rPr>
          <w:rStyle w:val="apple-converted-space"/>
          <w:bCs/>
          <w:lang w:val="en-GB"/>
        </w:rPr>
        <w:t>Moreover, when asked whether or not Westminster is striking a good balance between these legal and political aspects of legislation, he declared that they ‘were getting it about right’, but further noted that ‘it’s a judgment we have to keep making’.</w:t>
      </w:r>
      <w:r w:rsidRPr="00010481">
        <w:rPr>
          <w:rStyle w:val="FootnoteReference"/>
          <w:bCs/>
          <w:lang w:val="en-GB"/>
        </w:rPr>
        <w:footnoteReference w:id="62"/>
      </w:r>
      <w:r>
        <w:rPr>
          <w:rStyle w:val="apple-converted-space"/>
          <w:bCs/>
          <w:lang w:val="en-GB"/>
        </w:rPr>
        <w:t xml:space="preserve"> Yet it is unknown why this judgment should continually be made without any reference to clear short title standards or g</w:t>
      </w:r>
      <w:r w:rsidR="000F271B">
        <w:rPr>
          <w:rStyle w:val="apple-converted-space"/>
          <w:bCs/>
          <w:lang w:val="en-GB"/>
        </w:rPr>
        <w:t xml:space="preserve">uidelines regarding how to resolve </w:t>
      </w:r>
      <w:r>
        <w:rPr>
          <w:rStyle w:val="apple-converted-space"/>
          <w:bCs/>
          <w:lang w:val="en-GB"/>
        </w:rPr>
        <w:t xml:space="preserve">disputes. </w:t>
      </w:r>
      <w:r w:rsidR="00042F3A">
        <w:rPr>
          <w:rStyle w:val="apple-converted-space"/>
          <w:bCs/>
          <w:lang w:val="en-GB"/>
        </w:rPr>
        <w:t xml:space="preserve">Perhaps implementing some principles of good practice would ease the tension between Ministers and drafters, and take a major step in resolving Westminster’s impending short title quandary. </w:t>
      </w:r>
    </w:p>
    <w:p w:rsidR="00764358" w:rsidRPr="00010481" w:rsidRDefault="00764358"/>
    <w:sectPr w:rsidR="00764358" w:rsidRPr="00010481" w:rsidSect="00010481">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DC4" w:rsidRDefault="00057DC4" w:rsidP="001E22FE">
      <w:pPr>
        <w:spacing w:after="0" w:line="240" w:lineRule="auto"/>
      </w:pPr>
      <w:r>
        <w:separator/>
      </w:r>
    </w:p>
  </w:endnote>
  <w:endnote w:type="continuationSeparator" w:id="0">
    <w:p w:rsidR="00057DC4" w:rsidRDefault="00057DC4" w:rsidP="001E2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46493"/>
      <w:docPartObj>
        <w:docPartGallery w:val="Page Numbers (Bottom of Page)"/>
        <w:docPartUnique/>
      </w:docPartObj>
    </w:sdtPr>
    <w:sdtContent>
      <w:p w:rsidR="00057DC4" w:rsidRDefault="00057DC4">
        <w:pPr>
          <w:pStyle w:val="Footer"/>
          <w:jc w:val="right"/>
        </w:pPr>
        <w:fldSimple w:instr=" PAGE   \* MERGEFORMAT ">
          <w:r w:rsidR="002C3CF2">
            <w:rPr>
              <w:noProof/>
            </w:rPr>
            <w:t>1</w:t>
          </w:r>
        </w:fldSimple>
      </w:p>
    </w:sdtContent>
  </w:sdt>
  <w:p w:rsidR="00057DC4" w:rsidRDefault="00057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DC4" w:rsidRDefault="00057DC4" w:rsidP="001E22FE">
      <w:pPr>
        <w:spacing w:after="0" w:line="240" w:lineRule="auto"/>
      </w:pPr>
      <w:r>
        <w:separator/>
      </w:r>
    </w:p>
  </w:footnote>
  <w:footnote w:type="continuationSeparator" w:id="0">
    <w:p w:rsidR="00057DC4" w:rsidRDefault="00057DC4" w:rsidP="001E22FE">
      <w:pPr>
        <w:spacing w:after="0" w:line="240" w:lineRule="auto"/>
      </w:pPr>
      <w:r>
        <w:continuationSeparator/>
      </w:r>
    </w:p>
  </w:footnote>
  <w:footnote w:id="1">
    <w:p w:rsidR="00057DC4" w:rsidRDefault="00057DC4" w:rsidP="00764358">
      <w:pPr>
        <w:pStyle w:val="FootnoteText"/>
      </w:pPr>
      <w:r w:rsidRPr="008516A7">
        <w:rPr>
          <w:rStyle w:val="FootnoteReference"/>
        </w:rPr>
        <w:sym w:font="Symbol" w:char="F02A"/>
      </w:r>
      <w:r>
        <w:t xml:space="preserve"> </w:t>
      </w:r>
      <w:proofErr w:type="gramStart"/>
      <w:r w:rsidRPr="008516A7">
        <w:t>PhD Candidate, University of Stirling, School of Law,</w:t>
      </w:r>
      <w:r w:rsidRPr="008516A7">
        <w:rPr>
          <w:lang w:val="en-GB"/>
        </w:rPr>
        <w:t xml:space="preserve"> 2007-2012.</w:t>
      </w:r>
      <w:proofErr w:type="gramEnd"/>
      <w:r w:rsidRPr="008516A7">
        <w:rPr>
          <w:lang w:val="en-GB"/>
        </w:rPr>
        <w:t xml:space="preserve"> </w:t>
      </w:r>
      <w:proofErr w:type="spellStart"/>
      <w:proofErr w:type="gramStart"/>
      <w:r w:rsidRPr="008516A7">
        <w:rPr>
          <w:lang w:val="en-GB"/>
        </w:rPr>
        <w:t>Airthrey</w:t>
      </w:r>
      <w:proofErr w:type="spellEnd"/>
      <w:r w:rsidRPr="008516A7">
        <w:rPr>
          <w:lang w:val="en-GB"/>
        </w:rPr>
        <w:t xml:space="preserve"> Castle, University of Stirling, FK9 4LA.</w:t>
      </w:r>
      <w:proofErr w:type="gramEnd"/>
      <w:r w:rsidRPr="008516A7">
        <w:rPr>
          <w:lang w:val="en-GB"/>
        </w:rPr>
        <w:t xml:space="preserve"> </w:t>
      </w:r>
      <w:hyperlink r:id="rId1" w:history="1">
        <w:r w:rsidRPr="008516A7">
          <w:rPr>
            <w:rStyle w:val="Hyperlink"/>
            <w:lang w:val="en-GB"/>
          </w:rPr>
          <w:t>b.c.jones@stir.ac.uk</w:t>
        </w:r>
      </w:hyperlink>
      <w:r>
        <w:t xml:space="preserve"> (Thesis submitted for examination on April 10, 2012)</w:t>
      </w:r>
    </w:p>
  </w:footnote>
  <w:footnote w:id="2">
    <w:p w:rsidR="00057DC4" w:rsidRPr="00010481" w:rsidRDefault="00057DC4" w:rsidP="003F7C52">
      <w:pPr>
        <w:pStyle w:val="FootnoteText"/>
        <w:rPr>
          <w:lang w:val="en-GB"/>
        </w:rPr>
      </w:pPr>
      <w:r w:rsidRPr="00010481">
        <w:rPr>
          <w:rStyle w:val="FootnoteReference"/>
          <w:lang w:val="en-GB"/>
        </w:rPr>
        <w:footnoteRef/>
      </w:r>
      <w:r>
        <w:rPr>
          <w:lang w:val="en-GB"/>
        </w:rPr>
        <w:t xml:space="preserve"> Protection of Freedoms Act 2012 c.9 </w:t>
      </w:r>
    </w:p>
    <w:p w:rsidR="00057DC4" w:rsidRPr="00010481" w:rsidRDefault="00057DC4" w:rsidP="003F7C52">
      <w:pPr>
        <w:pStyle w:val="FootnoteText"/>
        <w:rPr>
          <w:lang w:val="en-GB"/>
        </w:rPr>
      </w:pPr>
    </w:p>
  </w:footnote>
  <w:footnote w:id="3">
    <w:p w:rsidR="00057DC4" w:rsidRPr="00010481" w:rsidRDefault="00057DC4" w:rsidP="003F7C52">
      <w:pPr>
        <w:pStyle w:val="FootnoteText"/>
        <w:rPr>
          <w:lang w:val="en-GB"/>
        </w:rPr>
      </w:pPr>
      <w:r w:rsidRPr="00010481">
        <w:rPr>
          <w:rStyle w:val="FootnoteReference"/>
          <w:lang w:val="en-GB"/>
        </w:rPr>
        <w:footnoteRef/>
      </w:r>
      <w:r w:rsidRPr="00010481">
        <w:rPr>
          <w:lang w:val="en-GB"/>
        </w:rPr>
        <w:t xml:space="preserve"> Freedom of Information Act 2000 c.36</w:t>
      </w:r>
    </w:p>
    <w:p w:rsidR="00057DC4" w:rsidRPr="00010481" w:rsidRDefault="00057DC4" w:rsidP="003F7C52">
      <w:pPr>
        <w:pStyle w:val="FootnoteText"/>
        <w:rPr>
          <w:lang w:val="en-GB"/>
        </w:rPr>
      </w:pPr>
    </w:p>
  </w:footnote>
  <w:footnote w:id="4">
    <w:p w:rsidR="00057DC4" w:rsidRPr="00B42EEC" w:rsidRDefault="00057DC4" w:rsidP="00764358">
      <w:pPr>
        <w:pStyle w:val="FootnoteText"/>
      </w:pPr>
      <w:r w:rsidRPr="00B42EEC">
        <w:rPr>
          <w:rStyle w:val="FootnoteReference"/>
        </w:rPr>
        <w:footnoteRef/>
      </w:r>
      <w:r w:rsidRPr="00B42EEC">
        <w:t xml:space="preserve"> </w:t>
      </w:r>
      <w:proofErr w:type="gramStart"/>
      <w:r w:rsidRPr="00B42EEC">
        <w:rPr>
          <w:lang w:val="en-GB"/>
        </w:rPr>
        <w:t>Protection of Freedoms Act 2012</w:t>
      </w:r>
      <w:r>
        <w:rPr>
          <w:lang w:val="en-GB"/>
        </w:rPr>
        <w:t xml:space="preserve"> c.9</w:t>
      </w:r>
      <w:r w:rsidRPr="00B42EEC">
        <w:rPr>
          <w:lang w:val="en-GB"/>
        </w:rPr>
        <w:t>.</w:t>
      </w:r>
      <w:proofErr w:type="gramEnd"/>
      <w:r w:rsidRPr="00B42EEC">
        <w:rPr>
          <w:lang w:val="en-GB"/>
        </w:rPr>
        <w:t xml:space="preserve"> Explanatory Notes, at: </w:t>
      </w:r>
      <w:hyperlink r:id="rId2" w:history="1">
        <w:r w:rsidRPr="00B42EEC">
          <w:rPr>
            <w:rStyle w:val="Hyperlink"/>
          </w:rPr>
          <w:t>http://www.legislation.gov.uk/ukpga/2012/9/pdfs/ukpgaen_20120009_en.pdf</w:t>
        </w:r>
      </w:hyperlink>
      <w:r w:rsidRPr="00B42EEC">
        <w:t>.</w:t>
      </w:r>
    </w:p>
    <w:p w:rsidR="00057DC4" w:rsidRPr="00F858A0" w:rsidRDefault="00057DC4" w:rsidP="00764358">
      <w:pPr>
        <w:pStyle w:val="FootnoteText"/>
        <w:rPr>
          <w:lang w:val="en-GB"/>
        </w:rPr>
      </w:pPr>
    </w:p>
  </w:footnote>
  <w:footnote w:id="5">
    <w:p w:rsidR="00057DC4" w:rsidRDefault="00057DC4">
      <w:pPr>
        <w:pStyle w:val="FootnoteText"/>
      </w:pPr>
      <w:r>
        <w:rPr>
          <w:rStyle w:val="FootnoteReference"/>
        </w:rPr>
        <w:footnoteRef/>
      </w:r>
      <w:r>
        <w:t xml:space="preserve"> Research performed by author. </w:t>
      </w:r>
      <w:proofErr w:type="gramStart"/>
      <w:r>
        <w:t xml:space="preserve">Consulted: </w:t>
      </w:r>
      <w:hyperlink r:id="rId3" w:history="1">
        <w:r w:rsidRPr="00B8603B">
          <w:rPr>
            <w:rStyle w:val="Hyperlink"/>
          </w:rPr>
          <w:t>www.legislation.gov.uk</w:t>
        </w:r>
      </w:hyperlink>
      <w:r>
        <w:t>.</w:t>
      </w:r>
      <w:proofErr w:type="gramEnd"/>
      <w:r>
        <w:t xml:space="preserve"> </w:t>
      </w:r>
    </w:p>
  </w:footnote>
  <w:footnote w:id="6">
    <w:p w:rsidR="00057DC4" w:rsidRPr="00010481" w:rsidRDefault="00057DC4" w:rsidP="003F7C52">
      <w:pPr>
        <w:pStyle w:val="NoSpacing"/>
        <w:rPr>
          <w:sz w:val="20"/>
          <w:szCs w:val="20"/>
          <w:lang w:val="en-GB"/>
        </w:rPr>
      </w:pPr>
      <w:r w:rsidRPr="00010481">
        <w:rPr>
          <w:rStyle w:val="FootnoteReference"/>
          <w:sz w:val="20"/>
          <w:szCs w:val="20"/>
          <w:lang w:val="en-GB"/>
        </w:rPr>
        <w:footnoteRef/>
      </w:r>
      <w:r w:rsidRPr="00010481">
        <w:rPr>
          <w:sz w:val="20"/>
          <w:szCs w:val="20"/>
          <w:lang w:val="en-GB"/>
        </w:rPr>
        <w:t xml:space="preserve"> </w:t>
      </w:r>
      <w:r w:rsidRPr="009E05C4">
        <w:rPr>
          <w:sz w:val="20"/>
          <w:szCs w:val="20"/>
          <w:lang w:val="en-GB"/>
        </w:rPr>
        <w:t xml:space="preserve">Greenberg, Daniel. </w:t>
      </w:r>
      <w:proofErr w:type="gramStart"/>
      <w:r w:rsidRPr="009E05C4">
        <w:rPr>
          <w:sz w:val="20"/>
          <w:szCs w:val="20"/>
          <w:lang w:val="en-GB"/>
        </w:rPr>
        <w:t xml:space="preserve">(2008). </w:t>
      </w:r>
      <w:proofErr w:type="spellStart"/>
      <w:r w:rsidRPr="00FD5241">
        <w:rPr>
          <w:i/>
          <w:sz w:val="20"/>
          <w:szCs w:val="20"/>
          <w:lang w:val="en-GB"/>
        </w:rPr>
        <w:t>Craies</w:t>
      </w:r>
      <w:proofErr w:type="spellEnd"/>
      <w:r w:rsidRPr="00FD5241">
        <w:rPr>
          <w:i/>
          <w:sz w:val="20"/>
          <w:szCs w:val="20"/>
          <w:lang w:val="en-GB"/>
        </w:rPr>
        <w:t xml:space="preserve"> on Legislation</w:t>
      </w:r>
      <w:r w:rsidRPr="009E05C4">
        <w:rPr>
          <w:sz w:val="20"/>
          <w:szCs w:val="20"/>
          <w:lang w:val="en-GB"/>
        </w:rPr>
        <w:t xml:space="preserve"> (9th Ed.).</w:t>
      </w:r>
      <w:proofErr w:type="gramEnd"/>
      <w:r w:rsidRPr="009E05C4">
        <w:rPr>
          <w:sz w:val="20"/>
          <w:szCs w:val="20"/>
          <w:lang w:val="en-GB"/>
        </w:rPr>
        <w:t xml:space="preserve"> London, UK: Sweet and Maxwell</w:t>
      </w:r>
      <w:r>
        <w:rPr>
          <w:sz w:val="20"/>
          <w:szCs w:val="20"/>
          <w:lang w:val="en-GB"/>
        </w:rPr>
        <w:t xml:space="preserve">, </w:t>
      </w:r>
      <w:r w:rsidRPr="00010481">
        <w:rPr>
          <w:sz w:val="20"/>
          <w:szCs w:val="20"/>
          <w:lang w:val="en-GB"/>
        </w:rPr>
        <w:t xml:space="preserve">p. 103; </w:t>
      </w:r>
      <w:r w:rsidRPr="002D1E2D">
        <w:rPr>
          <w:sz w:val="20"/>
          <w:szCs w:val="20"/>
          <w:lang w:val="en-GB"/>
        </w:rPr>
        <w:t xml:space="preserve">Jack, Sir Malcolm. (2011). </w:t>
      </w:r>
      <w:r w:rsidRPr="00FD5241">
        <w:rPr>
          <w:i/>
          <w:sz w:val="20"/>
          <w:szCs w:val="20"/>
          <w:lang w:val="en-GB"/>
        </w:rPr>
        <w:t>Erskine May’s Parliamentary Practice</w:t>
      </w:r>
      <w:r w:rsidRPr="002D1E2D">
        <w:rPr>
          <w:sz w:val="20"/>
          <w:szCs w:val="20"/>
          <w:lang w:val="en-GB"/>
        </w:rPr>
        <w:t xml:space="preserve"> (24th Ed.): The Law, Privileges, Proceedings and Usage of Parliament. London, UK: LexisNexis</w:t>
      </w:r>
      <w:r>
        <w:rPr>
          <w:sz w:val="20"/>
          <w:szCs w:val="20"/>
          <w:lang w:val="en-GB"/>
        </w:rPr>
        <w:t>,</w:t>
      </w:r>
      <w:r w:rsidRPr="00010481">
        <w:rPr>
          <w:sz w:val="20"/>
          <w:szCs w:val="20"/>
          <w:lang w:val="en-GB"/>
        </w:rPr>
        <w:t xml:space="preserve"> p. 527.</w:t>
      </w:r>
    </w:p>
    <w:p w:rsidR="00057DC4" w:rsidRPr="00010481" w:rsidRDefault="00057DC4" w:rsidP="003F7C52">
      <w:pPr>
        <w:pStyle w:val="NoSpacing"/>
        <w:rPr>
          <w:sz w:val="20"/>
          <w:szCs w:val="20"/>
          <w:lang w:val="en-GB"/>
        </w:rPr>
      </w:pPr>
    </w:p>
  </w:footnote>
  <w:footnote w:id="7">
    <w:p w:rsidR="00057DC4" w:rsidRPr="00E55290" w:rsidRDefault="00057DC4" w:rsidP="006B4DF9">
      <w:pPr>
        <w:pStyle w:val="FootnoteText"/>
        <w:rPr>
          <w:i/>
          <w:lang w:val="en-GB"/>
        </w:rPr>
      </w:pPr>
      <w:r w:rsidRPr="00E55290">
        <w:rPr>
          <w:rStyle w:val="FootnoteReference"/>
          <w:lang w:val="en-GB"/>
        </w:rPr>
        <w:footnoteRef/>
      </w:r>
      <w:r w:rsidRPr="00E55290">
        <w:rPr>
          <w:lang w:val="en-GB"/>
        </w:rPr>
        <w:t xml:space="preserve"> Food Safety Act 1990 c.16. </w:t>
      </w:r>
    </w:p>
    <w:p w:rsidR="00057DC4" w:rsidRPr="00E55290" w:rsidRDefault="00057DC4" w:rsidP="006B4DF9">
      <w:pPr>
        <w:pStyle w:val="FootnoteText"/>
        <w:rPr>
          <w:lang w:val="en-GB"/>
        </w:rPr>
      </w:pPr>
    </w:p>
  </w:footnote>
  <w:footnote w:id="8">
    <w:p w:rsidR="00057DC4" w:rsidRPr="00E55290" w:rsidRDefault="00057DC4" w:rsidP="006B4DF9">
      <w:pPr>
        <w:pStyle w:val="FootnoteText"/>
        <w:rPr>
          <w:lang w:val="en-GB"/>
        </w:rPr>
      </w:pPr>
      <w:r w:rsidRPr="00E55290">
        <w:rPr>
          <w:rStyle w:val="FootnoteReference"/>
          <w:lang w:val="en-GB"/>
        </w:rPr>
        <w:footnoteRef/>
      </w:r>
      <w:r w:rsidRPr="00E55290">
        <w:rPr>
          <w:lang w:val="en-GB"/>
        </w:rPr>
        <w:t xml:space="preserve"> </w:t>
      </w:r>
      <w:proofErr w:type="spellStart"/>
      <w:r w:rsidRPr="00E55290">
        <w:rPr>
          <w:lang w:val="en-GB"/>
        </w:rPr>
        <w:t>Willitt</w:t>
      </w:r>
      <w:proofErr w:type="spellEnd"/>
      <w:r w:rsidRPr="00E55290">
        <w:rPr>
          <w:lang w:val="en-GB"/>
        </w:rPr>
        <w:t xml:space="preserve">, Chris. (1991). </w:t>
      </w:r>
      <w:proofErr w:type="gramStart"/>
      <w:r w:rsidRPr="00E55290">
        <w:rPr>
          <w:lang w:val="en-GB"/>
        </w:rPr>
        <w:t>The</w:t>
      </w:r>
      <w:proofErr w:type="gramEnd"/>
      <w:r w:rsidRPr="00E55290">
        <w:rPr>
          <w:lang w:val="en-GB"/>
        </w:rPr>
        <w:t xml:space="preserve"> Food Safety Act 1990: Substance or Symbolism? </w:t>
      </w:r>
      <w:r w:rsidRPr="00E55290">
        <w:rPr>
          <w:i/>
          <w:lang w:val="en-GB"/>
        </w:rPr>
        <w:t>Statute Law Review</w:t>
      </w:r>
      <w:r w:rsidRPr="00E55290">
        <w:rPr>
          <w:lang w:val="en-GB"/>
        </w:rPr>
        <w:t xml:space="preserve">, 12(2) pp. 146-55. </w:t>
      </w:r>
    </w:p>
    <w:p w:rsidR="00057DC4" w:rsidRPr="00E55290" w:rsidRDefault="00057DC4" w:rsidP="006B4DF9">
      <w:pPr>
        <w:pStyle w:val="FootnoteText"/>
        <w:rPr>
          <w:lang w:val="en-GB"/>
        </w:rPr>
      </w:pPr>
    </w:p>
  </w:footnote>
  <w:footnote w:id="9">
    <w:p w:rsidR="00057DC4" w:rsidRPr="00E55290" w:rsidRDefault="00057DC4" w:rsidP="006B4DF9">
      <w:pPr>
        <w:pStyle w:val="FootnoteText"/>
        <w:rPr>
          <w:lang w:val="en-GB"/>
        </w:rPr>
      </w:pPr>
      <w:r w:rsidRPr="00E55290">
        <w:rPr>
          <w:rStyle w:val="FootnoteReference"/>
          <w:lang w:val="en-GB"/>
        </w:rPr>
        <w:footnoteRef/>
      </w:r>
      <w:r w:rsidRPr="00E55290">
        <w:rPr>
          <w:lang w:val="en-GB"/>
        </w:rPr>
        <w:t xml:space="preserve"> </w:t>
      </w:r>
      <w:r w:rsidRPr="00E55290">
        <w:rPr>
          <w:i/>
          <w:lang w:val="en-GB"/>
        </w:rPr>
        <w:t>Id.</w:t>
      </w:r>
      <w:r w:rsidRPr="00E55290">
        <w:rPr>
          <w:lang w:val="en-GB"/>
        </w:rPr>
        <w:t xml:space="preserve">, p. 155. </w:t>
      </w:r>
    </w:p>
    <w:p w:rsidR="00057DC4" w:rsidRPr="00E55290" w:rsidRDefault="00057DC4" w:rsidP="006B4DF9">
      <w:pPr>
        <w:pStyle w:val="FootnoteText"/>
        <w:rPr>
          <w:lang w:val="en-GB"/>
        </w:rPr>
      </w:pPr>
    </w:p>
  </w:footnote>
  <w:footnote w:id="10">
    <w:p w:rsidR="00057DC4" w:rsidRPr="00010481" w:rsidRDefault="00057DC4" w:rsidP="003F7C52">
      <w:pPr>
        <w:pStyle w:val="FootnoteText"/>
        <w:rPr>
          <w:lang w:val="en-GB"/>
        </w:rPr>
      </w:pPr>
      <w:r w:rsidRPr="00010481">
        <w:rPr>
          <w:rStyle w:val="FootnoteReference"/>
          <w:lang w:val="en-GB"/>
        </w:rPr>
        <w:footnoteRef/>
      </w:r>
      <w:r w:rsidRPr="00010481">
        <w:rPr>
          <w:lang w:val="en-GB"/>
        </w:rPr>
        <w:t xml:space="preserve"> Orr, Graeme. (2000). Names </w:t>
      </w:r>
      <w:proofErr w:type="gramStart"/>
      <w:r w:rsidRPr="00010481">
        <w:rPr>
          <w:lang w:val="en-GB"/>
        </w:rPr>
        <w:t>Without</w:t>
      </w:r>
      <w:proofErr w:type="gramEnd"/>
      <w:r w:rsidRPr="00010481">
        <w:rPr>
          <w:lang w:val="en-GB"/>
        </w:rPr>
        <w:t xml:space="preserve"> Frontiers: Legislative Titles and Sloganeering. </w:t>
      </w:r>
      <w:r w:rsidRPr="00010481">
        <w:rPr>
          <w:i/>
          <w:lang w:val="en-GB"/>
        </w:rPr>
        <w:t>Statute Law Review</w:t>
      </w:r>
      <w:r w:rsidRPr="00010481">
        <w:rPr>
          <w:lang w:val="en-GB"/>
        </w:rPr>
        <w:t>, 21(3), pp. 188-212.</w:t>
      </w:r>
    </w:p>
    <w:p w:rsidR="00057DC4" w:rsidRPr="00010481" w:rsidRDefault="00057DC4" w:rsidP="003F7C52">
      <w:pPr>
        <w:pStyle w:val="FootnoteText"/>
        <w:rPr>
          <w:lang w:val="en-GB"/>
        </w:rPr>
      </w:pPr>
    </w:p>
  </w:footnote>
  <w:footnote w:id="11">
    <w:p w:rsidR="00057DC4" w:rsidRPr="00010481" w:rsidRDefault="00057DC4" w:rsidP="003F7C52">
      <w:pPr>
        <w:pStyle w:val="FootnoteText"/>
        <w:rPr>
          <w:lang w:val="en-GB"/>
        </w:rPr>
      </w:pPr>
      <w:r w:rsidRPr="00010481">
        <w:rPr>
          <w:rStyle w:val="FootnoteReference"/>
          <w:lang w:val="en-GB"/>
        </w:rPr>
        <w:footnoteRef/>
      </w:r>
      <w:r w:rsidRPr="00010481">
        <w:rPr>
          <w:lang w:val="en-GB"/>
        </w:rPr>
        <w:t xml:space="preserve"> Orr, </w:t>
      </w:r>
      <w:proofErr w:type="spellStart"/>
      <w:r w:rsidRPr="00010481">
        <w:rPr>
          <w:lang w:val="en-GB"/>
        </w:rPr>
        <w:t>Grame</w:t>
      </w:r>
      <w:proofErr w:type="spellEnd"/>
      <w:r w:rsidRPr="00010481">
        <w:rPr>
          <w:lang w:val="en-GB"/>
        </w:rPr>
        <w:t xml:space="preserve"> (2001). From Slogans to Puns: Australian Legislative Titling Revisited. </w:t>
      </w:r>
      <w:r w:rsidRPr="00010481">
        <w:rPr>
          <w:i/>
          <w:lang w:val="en-GB"/>
        </w:rPr>
        <w:t>Statute Law Review</w:t>
      </w:r>
      <w:r w:rsidRPr="00010481">
        <w:rPr>
          <w:lang w:val="en-GB"/>
        </w:rPr>
        <w:t>, 22(2) pp. 160-61.</w:t>
      </w:r>
    </w:p>
    <w:p w:rsidR="00057DC4" w:rsidRPr="00010481" w:rsidRDefault="00057DC4" w:rsidP="003F7C52">
      <w:pPr>
        <w:pStyle w:val="FootnoteText"/>
        <w:rPr>
          <w:lang w:val="en-GB"/>
        </w:rPr>
      </w:pPr>
    </w:p>
  </w:footnote>
  <w:footnote w:id="12">
    <w:p w:rsidR="00057DC4" w:rsidRDefault="00057DC4">
      <w:pPr>
        <w:pStyle w:val="FootnoteText"/>
        <w:rPr>
          <w:lang w:val="en-GB"/>
        </w:rPr>
      </w:pPr>
      <w:r w:rsidRPr="00010481">
        <w:rPr>
          <w:rStyle w:val="FootnoteReference"/>
          <w:lang w:val="en-GB"/>
        </w:rPr>
        <w:footnoteRef/>
      </w:r>
      <w:r w:rsidRPr="00010481">
        <w:rPr>
          <w:lang w:val="en-GB"/>
        </w:rPr>
        <w:t xml:space="preserve"> </w:t>
      </w:r>
      <w:r w:rsidRPr="00010481">
        <w:rPr>
          <w:i/>
          <w:lang w:val="en-GB"/>
        </w:rPr>
        <w:t>Id</w:t>
      </w:r>
      <w:r>
        <w:rPr>
          <w:lang w:val="en-GB"/>
        </w:rPr>
        <w:t>., p. 161</w:t>
      </w:r>
      <w:r w:rsidRPr="00010481">
        <w:rPr>
          <w:lang w:val="en-GB"/>
        </w:rPr>
        <w:t>.</w:t>
      </w:r>
    </w:p>
    <w:p w:rsidR="00057DC4" w:rsidRPr="00010481" w:rsidRDefault="00057DC4">
      <w:pPr>
        <w:pStyle w:val="FootnoteText"/>
        <w:rPr>
          <w:lang w:val="en-GB"/>
        </w:rPr>
      </w:pPr>
    </w:p>
  </w:footnote>
  <w:footnote w:id="13">
    <w:p w:rsidR="00057DC4" w:rsidRPr="00010481" w:rsidRDefault="00057DC4">
      <w:pPr>
        <w:pStyle w:val="FootnoteText"/>
        <w:rPr>
          <w:lang w:val="en-GB"/>
        </w:rPr>
      </w:pPr>
      <w:r w:rsidRPr="00010481">
        <w:rPr>
          <w:rStyle w:val="FootnoteReference"/>
          <w:lang w:val="en-GB"/>
        </w:rPr>
        <w:footnoteRef/>
      </w:r>
      <w:r w:rsidRPr="00010481">
        <w:rPr>
          <w:lang w:val="en-GB"/>
        </w:rPr>
        <w:t xml:space="preserve"> Jones, Brian Christopher. (2012). Research Note: Do Short Titles Matter? </w:t>
      </w:r>
      <w:proofErr w:type="gramStart"/>
      <w:r w:rsidRPr="00010481">
        <w:rPr>
          <w:lang w:val="en-GB"/>
        </w:rPr>
        <w:t>Surprising Insights from Westminster and Holyrood.</w:t>
      </w:r>
      <w:proofErr w:type="gramEnd"/>
      <w:r w:rsidRPr="00010481">
        <w:rPr>
          <w:lang w:val="en-GB"/>
        </w:rPr>
        <w:t xml:space="preserve"> </w:t>
      </w:r>
      <w:r w:rsidRPr="00010481">
        <w:rPr>
          <w:i/>
          <w:lang w:val="en-GB"/>
        </w:rPr>
        <w:t>Parliamentary Affairs</w:t>
      </w:r>
      <w:r w:rsidRPr="00010481">
        <w:rPr>
          <w:lang w:val="en-GB"/>
        </w:rPr>
        <w:t>, 65(2), 448-462.</w:t>
      </w:r>
    </w:p>
    <w:p w:rsidR="00057DC4" w:rsidRPr="00010481" w:rsidRDefault="00057DC4">
      <w:pPr>
        <w:pStyle w:val="FootnoteText"/>
        <w:rPr>
          <w:lang w:val="en-GB"/>
        </w:rPr>
      </w:pPr>
    </w:p>
  </w:footnote>
  <w:footnote w:id="14">
    <w:p w:rsidR="00057DC4" w:rsidRDefault="00057DC4">
      <w:pPr>
        <w:pStyle w:val="FootnoteText"/>
        <w:rPr>
          <w:lang w:val="en-GB"/>
        </w:rPr>
      </w:pPr>
      <w:r w:rsidRPr="00010481">
        <w:rPr>
          <w:rStyle w:val="FootnoteReference"/>
          <w:lang w:val="en-GB"/>
        </w:rPr>
        <w:footnoteRef/>
      </w:r>
      <w:r>
        <w:rPr>
          <w:lang w:val="en-GB"/>
        </w:rPr>
        <w:t xml:space="preserve"> </w:t>
      </w:r>
      <w:proofErr w:type="gramStart"/>
      <w:r w:rsidRPr="003127E9">
        <w:rPr>
          <w:i/>
          <w:lang w:val="en-GB"/>
        </w:rPr>
        <w:t>Id</w:t>
      </w:r>
      <w:r>
        <w:rPr>
          <w:lang w:val="en-GB"/>
        </w:rPr>
        <w:t>., 458</w:t>
      </w:r>
      <w:r w:rsidRPr="00010481">
        <w:rPr>
          <w:lang w:val="en-GB"/>
        </w:rPr>
        <w:t>.</w:t>
      </w:r>
      <w:proofErr w:type="gramEnd"/>
      <w:r w:rsidRPr="00010481">
        <w:rPr>
          <w:lang w:val="en-GB"/>
        </w:rPr>
        <w:t xml:space="preserve"> </w:t>
      </w:r>
    </w:p>
    <w:p w:rsidR="00057DC4" w:rsidRPr="00010481" w:rsidRDefault="00057DC4">
      <w:pPr>
        <w:pStyle w:val="FootnoteText"/>
        <w:rPr>
          <w:lang w:val="en-GB"/>
        </w:rPr>
      </w:pPr>
    </w:p>
  </w:footnote>
  <w:footnote w:id="15">
    <w:p w:rsidR="00057DC4" w:rsidRDefault="00057DC4">
      <w:pPr>
        <w:pStyle w:val="FootnoteText"/>
        <w:rPr>
          <w:lang w:val="en-GB"/>
        </w:rPr>
      </w:pPr>
      <w:r w:rsidRPr="00010481">
        <w:rPr>
          <w:rStyle w:val="FootnoteReference"/>
          <w:lang w:val="en-GB"/>
        </w:rPr>
        <w:footnoteRef/>
      </w:r>
      <w:r w:rsidRPr="00010481">
        <w:rPr>
          <w:lang w:val="en-GB"/>
        </w:rPr>
        <w:t xml:space="preserve"> Jones, Brian Christopher. (2012). Transatlantic Perspectives on Humanised Public </w:t>
      </w:r>
      <w:r>
        <w:rPr>
          <w:lang w:val="en-GB"/>
        </w:rPr>
        <w:t xml:space="preserve">Law Campaigns: Personalising and Depersonalising the Legislative Process. 6(1) </w:t>
      </w:r>
      <w:proofErr w:type="spellStart"/>
      <w:r w:rsidRPr="00790367">
        <w:rPr>
          <w:i/>
          <w:lang w:val="en-GB"/>
        </w:rPr>
        <w:t>Legisprudence</w:t>
      </w:r>
      <w:proofErr w:type="spellEnd"/>
      <w:r>
        <w:rPr>
          <w:lang w:val="en-GB"/>
        </w:rPr>
        <w:t xml:space="preserve">, 57-76. </w:t>
      </w:r>
    </w:p>
    <w:p w:rsidR="00057DC4" w:rsidRPr="00010481" w:rsidRDefault="00057DC4">
      <w:pPr>
        <w:pStyle w:val="FootnoteText"/>
        <w:rPr>
          <w:lang w:val="en-GB"/>
        </w:rPr>
      </w:pPr>
    </w:p>
  </w:footnote>
  <w:footnote w:id="16">
    <w:p w:rsidR="00057DC4" w:rsidRDefault="00057DC4">
      <w:pPr>
        <w:pStyle w:val="FootnoteText"/>
      </w:pPr>
      <w:r>
        <w:rPr>
          <w:rStyle w:val="FootnoteReference"/>
        </w:rPr>
        <w:footnoteRef/>
      </w:r>
      <w:r>
        <w:t xml:space="preserve"> The exact question was: ‘</w:t>
      </w:r>
      <w:r w:rsidRPr="00FF6714">
        <w:t xml:space="preserve">Legislation is often adorned with words such as ‘prevention’ or ‘protection’ in </w:t>
      </w:r>
      <w:r>
        <w:t>its</w:t>
      </w:r>
      <w:r w:rsidRPr="00FF6714">
        <w:t xml:space="preserve"> titles (e.g. The Protection from Abuse Bill, or The</w:t>
      </w:r>
      <w:r>
        <w:t xml:space="preserve"> Prevention of Terrorism Act). </w:t>
      </w:r>
      <w:r w:rsidRPr="00FF6714">
        <w:t>Do you think that this language implies that the bill will indeed be effective without any evi</w:t>
      </w:r>
      <w:r>
        <w:t xml:space="preserve">dence to support these claims? </w:t>
      </w:r>
      <w:r w:rsidRPr="00FF6714">
        <w:t>Are using these words/phrases justified in these instances?</w:t>
      </w:r>
      <w:r>
        <w:t>’</w:t>
      </w:r>
    </w:p>
    <w:p w:rsidR="00057DC4" w:rsidRDefault="00057DC4">
      <w:pPr>
        <w:pStyle w:val="FootnoteText"/>
      </w:pPr>
    </w:p>
  </w:footnote>
  <w:footnote w:id="17">
    <w:p w:rsidR="00057DC4" w:rsidRPr="00FF6714" w:rsidRDefault="00057DC4" w:rsidP="0013784D">
      <w:pPr>
        <w:pStyle w:val="FootnoteText"/>
        <w:rPr>
          <w:lang w:val="en-GB"/>
        </w:rPr>
      </w:pPr>
      <w:r w:rsidRPr="00BF64F7">
        <w:rPr>
          <w:rStyle w:val="FootnoteReference"/>
          <w:lang w:val="en-GB"/>
        </w:rPr>
        <w:footnoteRef/>
      </w:r>
      <w:r w:rsidRPr="00BF64F7">
        <w:rPr>
          <w:lang w:val="en-GB"/>
        </w:rPr>
        <w:t xml:space="preserve"> </w:t>
      </w:r>
      <w:r>
        <w:rPr>
          <w:lang w:val="en-GB"/>
        </w:rPr>
        <w:t>UKBD1 (United Kingdom Bill Drafter 1)</w:t>
      </w:r>
    </w:p>
    <w:p w:rsidR="00057DC4" w:rsidRPr="00BF64F7" w:rsidRDefault="00057DC4" w:rsidP="0013784D">
      <w:pPr>
        <w:pStyle w:val="FootnoteText"/>
        <w:rPr>
          <w:lang w:val="en-GB"/>
        </w:rPr>
      </w:pPr>
    </w:p>
  </w:footnote>
  <w:footnote w:id="18">
    <w:p w:rsidR="00057DC4" w:rsidRPr="00BF64F7" w:rsidRDefault="00057DC4" w:rsidP="0013784D">
      <w:pPr>
        <w:pStyle w:val="FootnoteText"/>
        <w:rPr>
          <w:lang w:val="en-GB"/>
        </w:rPr>
      </w:pPr>
      <w:r w:rsidRPr="00BF64F7">
        <w:rPr>
          <w:rStyle w:val="FootnoteReference"/>
          <w:lang w:val="en-GB"/>
        </w:rPr>
        <w:footnoteRef/>
      </w:r>
      <w:r w:rsidRPr="00BF64F7">
        <w:rPr>
          <w:lang w:val="en-GB"/>
        </w:rPr>
        <w:t xml:space="preserve"> HC1</w:t>
      </w:r>
      <w:r>
        <w:rPr>
          <w:lang w:val="en-GB"/>
        </w:rPr>
        <w:t xml:space="preserve"> (House of Commons Interviewee 1)</w:t>
      </w:r>
    </w:p>
    <w:p w:rsidR="00057DC4" w:rsidRPr="00BF64F7" w:rsidRDefault="00057DC4" w:rsidP="0013784D">
      <w:pPr>
        <w:pStyle w:val="FootnoteText"/>
        <w:rPr>
          <w:lang w:val="en-GB"/>
        </w:rPr>
      </w:pPr>
    </w:p>
  </w:footnote>
  <w:footnote w:id="19">
    <w:p w:rsidR="00057DC4" w:rsidRPr="00BF64F7" w:rsidRDefault="00057DC4" w:rsidP="0013784D">
      <w:pPr>
        <w:pStyle w:val="FootnoteText"/>
        <w:rPr>
          <w:lang w:val="en-GB"/>
        </w:rPr>
      </w:pPr>
      <w:r w:rsidRPr="00BF64F7">
        <w:rPr>
          <w:rStyle w:val="FootnoteReference"/>
          <w:lang w:val="en-GB"/>
        </w:rPr>
        <w:footnoteRef/>
      </w:r>
      <w:r w:rsidRPr="00BF64F7">
        <w:rPr>
          <w:lang w:val="en-GB"/>
        </w:rPr>
        <w:t xml:space="preserve"> HC2</w:t>
      </w:r>
      <w:r>
        <w:rPr>
          <w:lang w:val="en-GB"/>
        </w:rPr>
        <w:t xml:space="preserve"> (House of Commons Interviewee 2)</w:t>
      </w:r>
    </w:p>
    <w:p w:rsidR="00057DC4" w:rsidRPr="00BF64F7" w:rsidRDefault="00057DC4" w:rsidP="0013784D">
      <w:pPr>
        <w:pStyle w:val="FootnoteText"/>
        <w:rPr>
          <w:lang w:val="en-GB"/>
        </w:rPr>
      </w:pPr>
    </w:p>
  </w:footnote>
  <w:footnote w:id="20">
    <w:p w:rsidR="00057DC4" w:rsidRPr="00BF64F7" w:rsidRDefault="00057DC4" w:rsidP="0013784D">
      <w:pPr>
        <w:pStyle w:val="FootnoteText"/>
        <w:rPr>
          <w:lang w:val="en-GB"/>
        </w:rPr>
      </w:pPr>
      <w:r w:rsidRPr="00BF64F7">
        <w:rPr>
          <w:rStyle w:val="FootnoteReference"/>
          <w:lang w:val="en-GB"/>
        </w:rPr>
        <w:footnoteRef/>
      </w:r>
      <w:r w:rsidRPr="00BF64F7">
        <w:rPr>
          <w:lang w:val="en-GB"/>
        </w:rPr>
        <w:t xml:space="preserve"> HC3</w:t>
      </w:r>
      <w:r>
        <w:rPr>
          <w:lang w:val="en-GB"/>
        </w:rPr>
        <w:t xml:space="preserve"> (House of Commons Interviewee 3)</w:t>
      </w:r>
    </w:p>
    <w:p w:rsidR="00057DC4" w:rsidRPr="00BF64F7" w:rsidRDefault="00057DC4" w:rsidP="0013784D">
      <w:pPr>
        <w:pStyle w:val="FootnoteText"/>
        <w:rPr>
          <w:lang w:val="en-GB"/>
        </w:rPr>
      </w:pPr>
    </w:p>
  </w:footnote>
  <w:footnote w:id="21">
    <w:p w:rsidR="00057DC4" w:rsidRDefault="00057DC4" w:rsidP="00624F93">
      <w:pPr>
        <w:pStyle w:val="FootnoteText"/>
        <w:rPr>
          <w:lang w:val="en-GB"/>
        </w:rPr>
      </w:pPr>
      <w:r w:rsidRPr="00BF64F7">
        <w:rPr>
          <w:rStyle w:val="FootnoteReference"/>
          <w:lang w:val="en-GB"/>
        </w:rPr>
        <w:footnoteRef/>
      </w:r>
      <w:r w:rsidRPr="00BF64F7">
        <w:rPr>
          <w:lang w:val="en-GB"/>
        </w:rPr>
        <w:t xml:space="preserve"> HL2</w:t>
      </w:r>
      <w:r>
        <w:rPr>
          <w:lang w:val="en-GB"/>
        </w:rPr>
        <w:t xml:space="preserve"> (House of Commons Interviewee 2)</w:t>
      </w:r>
    </w:p>
    <w:p w:rsidR="00057DC4" w:rsidRPr="00BF64F7" w:rsidRDefault="00057DC4" w:rsidP="00624F93">
      <w:pPr>
        <w:pStyle w:val="FootnoteText"/>
        <w:rPr>
          <w:lang w:val="en-GB"/>
        </w:rPr>
      </w:pPr>
    </w:p>
  </w:footnote>
  <w:footnote w:id="22">
    <w:p w:rsidR="00057DC4" w:rsidRPr="00BF64F7" w:rsidRDefault="00057DC4" w:rsidP="00624F93">
      <w:pPr>
        <w:pStyle w:val="FootnoteText"/>
        <w:rPr>
          <w:lang w:val="en-GB"/>
        </w:rPr>
      </w:pPr>
      <w:r w:rsidRPr="00BF64F7">
        <w:rPr>
          <w:rStyle w:val="FootnoteReference"/>
          <w:lang w:val="en-GB"/>
        </w:rPr>
        <w:footnoteRef/>
      </w:r>
      <w:r w:rsidRPr="00BF64F7">
        <w:rPr>
          <w:lang w:val="en-GB"/>
        </w:rPr>
        <w:t xml:space="preserve"> HC5</w:t>
      </w:r>
      <w:r>
        <w:rPr>
          <w:lang w:val="en-GB"/>
        </w:rPr>
        <w:t xml:space="preserve"> (House of Commons Interviewee 5)</w:t>
      </w:r>
    </w:p>
    <w:p w:rsidR="00057DC4" w:rsidRPr="00BF64F7" w:rsidRDefault="00057DC4" w:rsidP="00624F93">
      <w:pPr>
        <w:pStyle w:val="FootnoteText"/>
        <w:rPr>
          <w:lang w:val="en-GB"/>
        </w:rPr>
      </w:pPr>
    </w:p>
  </w:footnote>
  <w:footnote w:id="23">
    <w:p w:rsidR="00057DC4" w:rsidRPr="00BF64F7" w:rsidRDefault="00057DC4" w:rsidP="00624F93">
      <w:pPr>
        <w:pStyle w:val="FootnoteText"/>
        <w:rPr>
          <w:lang w:val="en-GB"/>
        </w:rPr>
      </w:pPr>
      <w:r w:rsidRPr="00BF64F7">
        <w:rPr>
          <w:rStyle w:val="FootnoteReference"/>
          <w:lang w:val="en-GB"/>
        </w:rPr>
        <w:footnoteRef/>
      </w:r>
      <w:r w:rsidRPr="00BF64F7">
        <w:rPr>
          <w:lang w:val="en-GB"/>
        </w:rPr>
        <w:t xml:space="preserve"> HC4</w:t>
      </w:r>
      <w:r>
        <w:rPr>
          <w:lang w:val="en-GB"/>
        </w:rPr>
        <w:t xml:space="preserve"> (House of Commons Interviewee 4)</w:t>
      </w:r>
    </w:p>
    <w:p w:rsidR="00057DC4" w:rsidRPr="00BF64F7" w:rsidRDefault="00057DC4" w:rsidP="00624F93">
      <w:pPr>
        <w:pStyle w:val="FootnoteText"/>
        <w:rPr>
          <w:lang w:val="en-GB"/>
        </w:rPr>
      </w:pPr>
    </w:p>
  </w:footnote>
  <w:footnote w:id="24">
    <w:p w:rsidR="00057DC4" w:rsidRDefault="00057DC4">
      <w:pPr>
        <w:pStyle w:val="FootnoteText"/>
      </w:pPr>
      <w:r>
        <w:rPr>
          <w:rStyle w:val="FootnoteReference"/>
        </w:rPr>
        <w:footnoteRef/>
      </w:r>
      <w:r>
        <w:t xml:space="preserve"> </w:t>
      </w:r>
      <w:r w:rsidRPr="00624F93">
        <w:rPr>
          <w:i/>
        </w:rPr>
        <w:t>Id</w:t>
      </w:r>
      <w:r>
        <w:t xml:space="preserve">. </w:t>
      </w:r>
    </w:p>
    <w:p w:rsidR="00057DC4" w:rsidRDefault="00057DC4">
      <w:pPr>
        <w:pStyle w:val="FootnoteText"/>
      </w:pPr>
    </w:p>
  </w:footnote>
  <w:footnote w:id="25">
    <w:p w:rsidR="00057DC4" w:rsidRPr="00BF64F7" w:rsidRDefault="00057DC4" w:rsidP="00624F93">
      <w:pPr>
        <w:pStyle w:val="FootnoteText"/>
        <w:rPr>
          <w:lang w:val="en-GB"/>
        </w:rPr>
      </w:pPr>
      <w:r w:rsidRPr="00BF64F7">
        <w:rPr>
          <w:rStyle w:val="FootnoteReference"/>
          <w:lang w:val="en-GB"/>
        </w:rPr>
        <w:footnoteRef/>
      </w:r>
      <w:r w:rsidRPr="00BF64F7">
        <w:rPr>
          <w:lang w:val="en-GB"/>
        </w:rPr>
        <w:t xml:space="preserve"> HC7</w:t>
      </w:r>
      <w:r>
        <w:rPr>
          <w:lang w:val="en-GB"/>
        </w:rPr>
        <w:t xml:space="preserve"> (House of Commons Interviewee 7)</w:t>
      </w:r>
    </w:p>
    <w:p w:rsidR="00057DC4" w:rsidRPr="00BF64F7" w:rsidRDefault="00057DC4" w:rsidP="00624F93">
      <w:pPr>
        <w:pStyle w:val="FootnoteText"/>
        <w:rPr>
          <w:lang w:val="en-GB"/>
        </w:rPr>
      </w:pPr>
    </w:p>
  </w:footnote>
  <w:footnote w:id="26">
    <w:p w:rsidR="00057DC4" w:rsidRDefault="00057DC4">
      <w:pPr>
        <w:pStyle w:val="FootnoteText"/>
      </w:pPr>
      <w:r>
        <w:rPr>
          <w:rStyle w:val="FootnoteReference"/>
        </w:rPr>
        <w:footnoteRef/>
      </w:r>
      <w:r>
        <w:t xml:space="preserve"> HL1 (House of Lords Interviewee 1) </w:t>
      </w:r>
    </w:p>
    <w:p w:rsidR="00057DC4" w:rsidRDefault="00057DC4">
      <w:pPr>
        <w:pStyle w:val="FootnoteText"/>
      </w:pPr>
    </w:p>
  </w:footnote>
  <w:footnote w:id="27">
    <w:p w:rsidR="00057DC4" w:rsidRDefault="00057DC4">
      <w:pPr>
        <w:pStyle w:val="FootnoteText"/>
        <w:rPr>
          <w:lang w:val="en-GB"/>
        </w:rPr>
      </w:pPr>
      <w:r>
        <w:rPr>
          <w:rStyle w:val="FootnoteReference"/>
        </w:rPr>
        <w:footnoteRef/>
      </w:r>
      <w:r>
        <w:t xml:space="preserve"> There are </w:t>
      </w:r>
      <w:r w:rsidRPr="00010481">
        <w:rPr>
          <w:lang w:val="en-GB"/>
        </w:rPr>
        <w:t>a few exceptions (i.e. Bills of the Westminster Parliament relating only to Scotland)</w:t>
      </w:r>
      <w:r>
        <w:rPr>
          <w:lang w:val="en-GB"/>
        </w:rPr>
        <w:t>.</w:t>
      </w:r>
    </w:p>
    <w:p w:rsidR="00057DC4" w:rsidRDefault="00057DC4">
      <w:pPr>
        <w:pStyle w:val="FootnoteText"/>
      </w:pPr>
    </w:p>
  </w:footnote>
  <w:footnote w:id="28">
    <w:p w:rsidR="00057DC4" w:rsidRDefault="00057DC4">
      <w:pPr>
        <w:pStyle w:val="FootnoteText"/>
        <w:rPr>
          <w:i/>
        </w:rPr>
      </w:pPr>
      <w:r>
        <w:rPr>
          <w:rStyle w:val="FootnoteReference"/>
        </w:rPr>
        <w:footnoteRef/>
      </w:r>
      <w:r>
        <w:t xml:space="preserve"> </w:t>
      </w:r>
      <w:proofErr w:type="gramStart"/>
      <w:r>
        <w:t>Standing Orders of the House of Commons.</w:t>
      </w:r>
      <w:proofErr w:type="gramEnd"/>
      <w:r>
        <w:t xml:space="preserve"> (2011). Available at:</w:t>
      </w:r>
      <w:r w:rsidRPr="004B1069">
        <w:t xml:space="preserve"> </w:t>
      </w:r>
      <w:hyperlink r:id="rId4" w:history="1">
        <w:r w:rsidRPr="004B1069">
          <w:rPr>
            <w:rStyle w:val="Hyperlink"/>
            <w:i/>
          </w:rPr>
          <w:t>http://www.publications.parliament.uk/pa/cm/cmstords.htm</w:t>
        </w:r>
      </w:hyperlink>
      <w:r>
        <w:t xml:space="preserve">; Standing Orders of the House of Lords (2010). Available at: </w:t>
      </w:r>
      <w:hyperlink r:id="rId5" w:history="1">
        <w:r w:rsidRPr="004B1069">
          <w:rPr>
            <w:rStyle w:val="Hyperlink"/>
            <w:i/>
          </w:rPr>
          <w:t>http://www.publications.parliament.uk/pa/ld/ldstords/ldstords.htm</w:t>
        </w:r>
      </w:hyperlink>
    </w:p>
    <w:p w:rsidR="00057DC4" w:rsidRDefault="00057DC4">
      <w:pPr>
        <w:pStyle w:val="FootnoteText"/>
      </w:pPr>
    </w:p>
  </w:footnote>
  <w:footnote w:id="29">
    <w:p w:rsidR="00057DC4" w:rsidRDefault="00057DC4" w:rsidP="00567BAA">
      <w:pPr>
        <w:pStyle w:val="FootnoteText"/>
        <w:rPr>
          <w:lang w:val="en-GB"/>
        </w:rPr>
      </w:pPr>
      <w:r w:rsidRPr="00010481">
        <w:rPr>
          <w:rStyle w:val="FootnoteReference"/>
          <w:lang w:val="en-GB"/>
        </w:rPr>
        <w:footnoteRef/>
      </w:r>
      <w:r w:rsidRPr="00010481">
        <w:rPr>
          <w:lang w:val="en-GB"/>
        </w:rPr>
        <w:t xml:space="preserve"> </w:t>
      </w:r>
      <w:proofErr w:type="gramStart"/>
      <w:r w:rsidRPr="00010481">
        <w:rPr>
          <w:lang w:val="en-GB"/>
        </w:rPr>
        <w:t>Office of th</w:t>
      </w:r>
      <w:r>
        <w:rPr>
          <w:lang w:val="en-GB"/>
        </w:rPr>
        <w:t>e Parliamentary Counsel (2011).</w:t>
      </w:r>
      <w:proofErr w:type="gramEnd"/>
      <w:r>
        <w:rPr>
          <w:lang w:val="en-GB"/>
        </w:rPr>
        <w:t xml:space="preserve"> </w:t>
      </w:r>
      <w:proofErr w:type="gramStart"/>
      <w:r w:rsidRPr="003B189D">
        <w:rPr>
          <w:lang w:val="en-GB"/>
        </w:rPr>
        <w:t>Drafting Guidance of the Office of the Parliamentary Counsel</w:t>
      </w:r>
      <w:r>
        <w:rPr>
          <w:lang w:val="en-GB"/>
        </w:rPr>
        <w:t>.</w:t>
      </w:r>
      <w:proofErr w:type="gramEnd"/>
      <w:r w:rsidRPr="003B189D">
        <w:rPr>
          <w:lang w:val="en-GB"/>
        </w:rPr>
        <w:t xml:space="preserve"> </w:t>
      </w:r>
      <w:r w:rsidRPr="00010481">
        <w:rPr>
          <w:lang w:val="en-GB"/>
        </w:rPr>
        <w:t>Available at:</w:t>
      </w:r>
      <w:r w:rsidRPr="008735A2">
        <w:t xml:space="preserve"> </w:t>
      </w:r>
      <w:hyperlink r:id="rId6" w:history="1">
        <w:r w:rsidRPr="008735A2">
          <w:rPr>
            <w:rStyle w:val="Hyperlink"/>
            <w:i/>
          </w:rPr>
          <w:t>http://www.cabinetoffice.gov.uk/sites/default/files/resources/Office_of_the_Parliamentary_Counsel_revised_guidance_16_12_11.pdf</w:t>
        </w:r>
      </w:hyperlink>
      <w:r w:rsidRPr="00010481">
        <w:rPr>
          <w:lang w:val="en-GB"/>
        </w:rPr>
        <w:t xml:space="preserve">. </w:t>
      </w:r>
    </w:p>
    <w:p w:rsidR="00057DC4" w:rsidRPr="00010481" w:rsidRDefault="00057DC4" w:rsidP="00567BAA">
      <w:pPr>
        <w:pStyle w:val="FootnoteText"/>
        <w:rPr>
          <w:lang w:val="en-GB"/>
        </w:rPr>
      </w:pPr>
    </w:p>
  </w:footnote>
  <w:footnote w:id="30">
    <w:p w:rsidR="00057DC4" w:rsidRPr="00010481" w:rsidRDefault="00057DC4" w:rsidP="00567BAA">
      <w:pPr>
        <w:pStyle w:val="FootnoteText"/>
        <w:rPr>
          <w:i/>
          <w:lang w:val="en-GB"/>
        </w:rPr>
      </w:pPr>
      <w:r w:rsidRPr="00010481">
        <w:rPr>
          <w:rStyle w:val="FootnoteReference"/>
          <w:lang w:val="en-GB"/>
        </w:rPr>
        <w:footnoteRef/>
      </w:r>
      <w:r w:rsidRPr="00010481">
        <w:rPr>
          <w:lang w:val="en-GB"/>
        </w:rPr>
        <w:t xml:space="preserve"> </w:t>
      </w:r>
      <w:proofErr w:type="gramStart"/>
      <w:r w:rsidRPr="00010481">
        <w:rPr>
          <w:i/>
          <w:lang w:val="en-GB"/>
        </w:rPr>
        <w:t>Id.</w:t>
      </w:r>
      <w:r>
        <w:rPr>
          <w:lang w:val="en-GB"/>
        </w:rPr>
        <w:t>, section 6.5.</w:t>
      </w:r>
      <w:proofErr w:type="gramEnd"/>
      <w:r>
        <w:rPr>
          <w:lang w:val="en-GB"/>
        </w:rPr>
        <w:t xml:space="preserve"> </w:t>
      </w:r>
    </w:p>
    <w:p w:rsidR="00057DC4" w:rsidRPr="00010481" w:rsidRDefault="00057DC4" w:rsidP="00567BAA">
      <w:pPr>
        <w:pStyle w:val="FootnoteText"/>
        <w:rPr>
          <w:lang w:val="en-GB"/>
        </w:rPr>
      </w:pPr>
    </w:p>
  </w:footnote>
  <w:footnote w:id="31">
    <w:p w:rsidR="00057DC4" w:rsidRDefault="00057DC4">
      <w:pPr>
        <w:pStyle w:val="FootnoteText"/>
      </w:pPr>
      <w:r>
        <w:rPr>
          <w:rStyle w:val="FootnoteReference"/>
        </w:rPr>
        <w:footnoteRef/>
      </w:r>
      <w:r>
        <w:t xml:space="preserve"> </w:t>
      </w:r>
      <w:proofErr w:type="gramStart"/>
      <w:r w:rsidRPr="00C55610">
        <w:rPr>
          <w:i/>
        </w:rPr>
        <w:t>Id</w:t>
      </w:r>
      <w:r>
        <w:t>., section 1.2.</w:t>
      </w:r>
      <w:proofErr w:type="gramEnd"/>
    </w:p>
    <w:p w:rsidR="00057DC4" w:rsidRDefault="00057DC4">
      <w:pPr>
        <w:pStyle w:val="FootnoteText"/>
      </w:pPr>
    </w:p>
  </w:footnote>
  <w:footnote w:id="32">
    <w:p w:rsidR="00057DC4" w:rsidRDefault="00057DC4">
      <w:pPr>
        <w:pStyle w:val="FootnoteText"/>
      </w:pPr>
      <w:r>
        <w:rPr>
          <w:rStyle w:val="FootnoteReference"/>
        </w:rPr>
        <w:footnoteRef/>
      </w:r>
      <w:r>
        <w:t xml:space="preserve"> </w:t>
      </w:r>
      <w:proofErr w:type="gramStart"/>
      <w:r w:rsidRPr="00B848E8">
        <w:rPr>
          <w:i/>
        </w:rPr>
        <w:t>Id</w:t>
      </w:r>
      <w:r>
        <w:t xml:space="preserve">, </w:t>
      </w:r>
      <w:proofErr w:type="spellStart"/>
      <w:r>
        <w:t>para</w:t>
      </w:r>
      <w:proofErr w:type="spellEnd"/>
      <w:r>
        <w:t>.</w:t>
      </w:r>
      <w:proofErr w:type="gramEnd"/>
      <w:r>
        <w:t xml:space="preserve"> 2. </w:t>
      </w:r>
    </w:p>
    <w:p w:rsidR="00057DC4" w:rsidRDefault="00057DC4">
      <w:pPr>
        <w:pStyle w:val="FootnoteText"/>
      </w:pPr>
    </w:p>
  </w:footnote>
  <w:footnote w:id="33">
    <w:p w:rsidR="00057DC4" w:rsidRPr="00010481" w:rsidRDefault="00057DC4" w:rsidP="00764358">
      <w:pPr>
        <w:pStyle w:val="FootnoteText"/>
        <w:rPr>
          <w:lang w:val="en-GB"/>
        </w:rPr>
      </w:pPr>
      <w:r w:rsidRPr="00010481">
        <w:rPr>
          <w:rStyle w:val="FootnoteReference"/>
          <w:lang w:val="en-GB"/>
        </w:rPr>
        <w:footnoteRef/>
      </w:r>
      <w:r w:rsidRPr="00010481">
        <w:rPr>
          <w:lang w:val="en-GB"/>
        </w:rPr>
        <w:t xml:space="preserve"> </w:t>
      </w:r>
      <w:proofErr w:type="gramStart"/>
      <w:r w:rsidRPr="00010481">
        <w:rPr>
          <w:lang w:val="en-GB"/>
        </w:rPr>
        <w:t>Cabinet Office G</w:t>
      </w:r>
      <w:r>
        <w:rPr>
          <w:lang w:val="en-GB"/>
        </w:rPr>
        <w:t>uide to Making Legislation.</w:t>
      </w:r>
      <w:proofErr w:type="gramEnd"/>
      <w:r>
        <w:rPr>
          <w:lang w:val="en-GB"/>
        </w:rPr>
        <w:t xml:space="preserve"> (2012</w:t>
      </w:r>
      <w:r w:rsidRPr="00010481">
        <w:rPr>
          <w:lang w:val="en-GB"/>
        </w:rPr>
        <w:t>)</w:t>
      </w:r>
      <w:r>
        <w:rPr>
          <w:lang w:val="en-GB"/>
        </w:rPr>
        <w:t>.</w:t>
      </w:r>
      <w:r w:rsidRPr="00010481">
        <w:rPr>
          <w:lang w:val="en-GB"/>
        </w:rPr>
        <w:t xml:space="preserve"> </w:t>
      </w:r>
      <w:r>
        <w:rPr>
          <w:lang w:val="en-GB"/>
        </w:rPr>
        <w:t xml:space="preserve">Section 9: </w:t>
      </w:r>
      <w:r w:rsidRPr="00010481">
        <w:rPr>
          <w:lang w:val="en-GB"/>
        </w:rPr>
        <w:t xml:space="preserve">Drafting the Bill. Available at: </w:t>
      </w:r>
      <w:hyperlink r:id="rId7" w:history="1">
        <w:r w:rsidR="00096E54">
          <w:rPr>
            <w:rStyle w:val="Hyperlink"/>
          </w:rPr>
          <w:t>http://www.cabinetoffice.gov.uk/sites/default/files/resources/Guide-to-Making-Legislation_0.pdf</w:t>
        </w:r>
      </w:hyperlink>
    </w:p>
    <w:p w:rsidR="00057DC4" w:rsidRPr="00010481" w:rsidRDefault="00057DC4" w:rsidP="00764358">
      <w:pPr>
        <w:pStyle w:val="FootnoteText"/>
        <w:rPr>
          <w:lang w:val="en-GB"/>
        </w:rPr>
      </w:pPr>
    </w:p>
  </w:footnote>
  <w:footnote w:id="34">
    <w:p w:rsidR="00057DC4" w:rsidRPr="00D344FC" w:rsidRDefault="00057DC4" w:rsidP="00567BAA">
      <w:pPr>
        <w:pStyle w:val="FootnoteText"/>
        <w:rPr>
          <w:lang w:val="nl-NL"/>
        </w:rPr>
      </w:pPr>
      <w:r w:rsidRPr="00010481">
        <w:rPr>
          <w:rStyle w:val="FootnoteReference"/>
          <w:lang w:val="en-GB"/>
        </w:rPr>
        <w:footnoteRef/>
      </w:r>
      <w:r w:rsidRPr="00D344FC">
        <w:rPr>
          <w:lang w:val="nl-NL"/>
        </w:rPr>
        <w:t xml:space="preserve"> </w:t>
      </w:r>
      <w:r w:rsidRPr="00D344FC">
        <w:rPr>
          <w:i/>
          <w:lang w:val="nl-NL"/>
        </w:rPr>
        <w:t>Id</w:t>
      </w:r>
      <w:r w:rsidRPr="00D344FC">
        <w:rPr>
          <w:lang w:val="nl-NL"/>
        </w:rPr>
        <w:t xml:space="preserve">., 9.32. </w:t>
      </w:r>
    </w:p>
    <w:p w:rsidR="00057DC4" w:rsidRPr="00D344FC" w:rsidRDefault="00057DC4" w:rsidP="00567BAA">
      <w:pPr>
        <w:pStyle w:val="FootnoteText"/>
        <w:rPr>
          <w:lang w:val="nl-NL"/>
        </w:rPr>
      </w:pPr>
    </w:p>
  </w:footnote>
  <w:footnote w:id="35">
    <w:p w:rsidR="00057DC4" w:rsidRPr="00D344FC" w:rsidRDefault="00057DC4" w:rsidP="00567BAA">
      <w:pPr>
        <w:pStyle w:val="FootnoteText"/>
        <w:rPr>
          <w:i/>
          <w:lang w:val="nl-NL"/>
        </w:rPr>
      </w:pPr>
      <w:r>
        <w:rPr>
          <w:rStyle w:val="FootnoteReference"/>
        </w:rPr>
        <w:footnoteRef/>
      </w:r>
      <w:r w:rsidRPr="00D344FC">
        <w:rPr>
          <w:lang w:val="nl-NL"/>
        </w:rPr>
        <w:t xml:space="preserve"> </w:t>
      </w:r>
      <w:r w:rsidRPr="00D344FC">
        <w:rPr>
          <w:i/>
          <w:lang w:val="nl-NL"/>
        </w:rPr>
        <w:t>Id</w:t>
      </w:r>
      <w:r w:rsidRPr="00D344FC">
        <w:rPr>
          <w:lang w:val="nl-NL"/>
        </w:rPr>
        <w:t>., 9.35.</w:t>
      </w:r>
    </w:p>
    <w:p w:rsidR="00057DC4" w:rsidRPr="00D344FC" w:rsidRDefault="00057DC4" w:rsidP="00567BAA">
      <w:pPr>
        <w:pStyle w:val="FootnoteText"/>
        <w:rPr>
          <w:lang w:val="nl-NL"/>
        </w:rPr>
      </w:pPr>
    </w:p>
  </w:footnote>
  <w:footnote w:id="36">
    <w:p w:rsidR="00057DC4" w:rsidRPr="00E76298" w:rsidRDefault="00057DC4" w:rsidP="00764358">
      <w:pPr>
        <w:pStyle w:val="FootnoteText"/>
        <w:rPr>
          <w:lang w:val="en-GB"/>
        </w:rPr>
      </w:pPr>
      <w:r w:rsidRPr="00010481">
        <w:rPr>
          <w:rStyle w:val="FootnoteReference"/>
          <w:lang w:val="en-GB"/>
        </w:rPr>
        <w:footnoteRef/>
      </w:r>
      <w:r w:rsidRPr="00D344FC">
        <w:rPr>
          <w:lang w:val="nl-NL"/>
        </w:rPr>
        <w:t xml:space="preserve"> </w:t>
      </w:r>
      <w:r w:rsidRPr="00E76298">
        <w:rPr>
          <w:lang w:val="en-GB"/>
        </w:rPr>
        <w:t xml:space="preserve">Greenberg, Daniel. </w:t>
      </w:r>
      <w:proofErr w:type="gramStart"/>
      <w:r w:rsidRPr="00E76298">
        <w:rPr>
          <w:lang w:val="en-GB"/>
        </w:rPr>
        <w:t xml:space="preserve">(2008), </w:t>
      </w:r>
      <w:r w:rsidRPr="00E76298">
        <w:rPr>
          <w:i/>
          <w:lang w:val="en-GB"/>
        </w:rPr>
        <w:t>op. cit.</w:t>
      </w:r>
      <w:r w:rsidRPr="00E76298">
        <w:rPr>
          <w:lang w:val="en-GB"/>
        </w:rPr>
        <w:t>, p. 102 (HC Deb. January 25, 2000. c.480’).</w:t>
      </w:r>
      <w:proofErr w:type="gramEnd"/>
      <w:r w:rsidRPr="00E76298">
        <w:rPr>
          <w:lang w:val="en-GB"/>
        </w:rPr>
        <w:t xml:space="preserve"> </w:t>
      </w:r>
    </w:p>
    <w:p w:rsidR="00057DC4" w:rsidRPr="00010481" w:rsidRDefault="00057DC4" w:rsidP="00764358">
      <w:pPr>
        <w:pStyle w:val="FootnoteText"/>
        <w:rPr>
          <w:lang w:val="en-GB"/>
        </w:rPr>
      </w:pPr>
    </w:p>
  </w:footnote>
  <w:footnote w:id="37">
    <w:p w:rsidR="00057DC4" w:rsidRPr="006A69FB" w:rsidRDefault="00057DC4" w:rsidP="00764358">
      <w:pPr>
        <w:pStyle w:val="FootnoteText"/>
        <w:rPr>
          <w:lang w:val="en-GB"/>
        </w:rPr>
      </w:pPr>
      <w:r w:rsidRPr="00010481">
        <w:rPr>
          <w:rStyle w:val="FootnoteReference"/>
          <w:lang w:val="en-GB"/>
        </w:rPr>
        <w:footnoteRef/>
      </w:r>
      <w:r w:rsidRPr="006A69FB">
        <w:rPr>
          <w:lang w:val="en-GB"/>
        </w:rPr>
        <w:t xml:space="preserve"> </w:t>
      </w:r>
      <w:r w:rsidRPr="002D1E2D">
        <w:rPr>
          <w:lang w:val="en-GB"/>
        </w:rPr>
        <w:t xml:space="preserve">Greenberg, Daniel. (2011). </w:t>
      </w:r>
      <w:r w:rsidRPr="00FD5241">
        <w:rPr>
          <w:i/>
          <w:lang w:val="en-GB"/>
        </w:rPr>
        <w:t>Laying Down the Law: A Discussion of the People, Processes, and Problems that Shape Acts of Parliament</w:t>
      </w:r>
      <w:r w:rsidRPr="002D1E2D">
        <w:rPr>
          <w:lang w:val="en-GB"/>
        </w:rPr>
        <w:t>. London, UK: Sweet &amp; Maxwell</w:t>
      </w:r>
      <w:r w:rsidRPr="006A69FB">
        <w:rPr>
          <w:lang w:val="en-GB"/>
        </w:rPr>
        <w:t xml:space="preserve">, p. 54. </w:t>
      </w:r>
    </w:p>
    <w:p w:rsidR="00057DC4" w:rsidRPr="006A69FB" w:rsidRDefault="00057DC4" w:rsidP="00764358">
      <w:pPr>
        <w:pStyle w:val="FootnoteText"/>
        <w:rPr>
          <w:lang w:val="en-GB"/>
        </w:rPr>
      </w:pPr>
    </w:p>
  </w:footnote>
  <w:footnote w:id="38">
    <w:p w:rsidR="00057DC4" w:rsidRPr="00010481" w:rsidRDefault="00057DC4" w:rsidP="00764358">
      <w:pPr>
        <w:pStyle w:val="FootnoteText"/>
        <w:rPr>
          <w:lang w:val="en-GB"/>
        </w:rPr>
      </w:pPr>
      <w:r w:rsidRPr="00010481">
        <w:rPr>
          <w:rStyle w:val="FootnoteReference"/>
          <w:lang w:val="en-GB"/>
        </w:rPr>
        <w:footnoteRef/>
      </w:r>
      <w:r w:rsidRPr="00010481">
        <w:rPr>
          <w:lang w:val="en-GB"/>
        </w:rPr>
        <w:t xml:space="preserve"> Jack, Sir Malcolm, </w:t>
      </w:r>
      <w:r w:rsidRPr="00010481">
        <w:rPr>
          <w:i/>
          <w:lang w:val="en-GB"/>
        </w:rPr>
        <w:t>op. cit.</w:t>
      </w:r>
      <w:r w:rsidRPr="00010481">
        <w:rPr>
          <w:lang w:val="en-GB"/>
        </w:rPr>
        <w:t xml:space="preserve">, p. 526. </w:t>
      </w:r>
    </w:p>
    <w:p w:rsidR="00057DC4" w:rsidRPr="00010481" w:rsidRDefault="00057DC4" w:rsidP="00764358">
      <w:pPr>
        <w:pStyle w:val="FootnoteText"/>
        <w:rPr>
          <w:lang w:val="en-GB"/>
        </w:rPr>
      </w:pPr>
    </w:p>
  </w:footnote>
  <w:footnote w:id="39">
    <w:p w:rsidR="00057DC4" w:rsidRDefault="00057DC4">
      <w:pPr>
        <w:pStyle w:val="FootnoteText"/>
      </w:pPr>
      <w:r>
        <w:rPr>
          <w:rStyle w:val="FootnoteReference"/>
        </w:rPr>
        <w:footnoteRef/>
      </w:r>
      <w:r>
        <w:t xml:space="preserve"> </w:t>
      </w:r>
      <w:r w:rsidRPr="00A44ECD">
        <w:rPr>
          <w:i/>
        </w:rPr>
        <w:t>Id</w:t>
      </w:r>
      <w:r>
        <w:t>.</w:t>
      </w:r>
    </w:p>
    <w:p w:rsidR="00057DC4" w:rsidRDefault="00057DC4">
      <w:pPr>
        <w:pStyle w:val="FootnoteText"/>
      </w:pPr>
    </w:p>
  </w:footnote>
  <w:footnote w:id="40">
    <w:p w:rsidR="00057DC4" w:rsidRPr="00010481" w:rsidRDefault="00057DC4" w:rsidP="00764358">
      <w:pPr>
        <w:pStyle w:val="FootnoteText"/>
        <w:rPr>
          <w:lang w:val="en-GB"/>
        </w:rPr>
      </w:pPr>
      <w:r w:rsidRPr="00010481">
        <w:rPr>
          <w:rStyle w:val="FootnoteReference"/>
          <w:lang w:val="en-GB"/>
        </w:rPr>
        <w:footnoteRef/>
      </w:r>
      <w:r w:rsidRPr="00010481">
        <w:rPr>
          <w:lang w:val="en-GB"/>
        </w:rPr>
        <w:t xml:space="preserve"> </w:t>
      </w:r>
      <w:r w:rsidRPr="00010481">
        <w:rPr>
          <w:i/>
          <w:lang w:val="en-GB"/>
        </w:rPr>
        <w:t>Id.</w:t>
      </w:r>
      <w:r w:rsidRPr="00010481">
        <w:rPr>
          <w:lang w:val="en-GB"/>
        </w:rPr>
        <w:t xml:space="preserve">, p. 62. </w:t>
      </w:r>
    </w:p>
    <w:p w:rsidR="00057DC4" w:rsidRPr="00010481" w:rsidRDefault="00057DC4" w:rsidP="00764358">
      <w:pPr>
        <w:pStyle w:val="FootnoteText"/>
        <w:rPr>
          <w:lang w:val="en-GB"/>
        </w:rPr>
      </w:pPr>
    </w:p>
  </w:footnote>
  <w:footnote w:id="41">
    <w:p w:rsidR="00057DC4" w:rsidRPr="00010481" w:rsidRDefault="00057DC4" w:rsidP="00764358">
      <w:pPr>
        <w:pStyle w:val="FootnoteText"/>
        <w:rPr>
          <w:lang w:val="en-GB"/>
        </w:rPr>
      </w:pPr>
      <w:r w:rsidRPr="00010481">
        <w:rPr>
          <w:rStyle w:val="FootnoteReference"/>
          <w:lang w:val="en-GB"/>
        </w:rPr>
        <w:footnoteRef/>
      </w:r>
      <w:r w:rsidRPr="00010481">
        <w:rPr>
          <w:lang w:val="en-GB"/>
        </w:rPr>
        <w:t xml:space="preserve"> </w:t>
      </w:r>
      <w:r w:rsidRPr="00010481">
        <w:rPr>
          <w:i/>
          <w:lang w:val="en-GB"/>
        </w:rPr>
        <w:t>Id.</w:t>
      </w:r>
    </w:p>
    <w:p w:rsidR="00057DC4" w:rsidRPr="00010481" w:rsidRDefault="00057DC4" w:rsidP="00764358">
      <w:pPr>
        <w:pStyle w:val="FootnoteText"/>
        <w:rPr>
          <w:lang w:val="en-GB"/>
        </w:rPr>
      </w:pPr>
    </w:p>
  </w:footnote>
  <w:footnote w:id="42">
    <w:p w:rsidR="00057DC4" w:rsidRPr="00010481" w:rsidRDefault="00057DC4" w:rsidP="00764358">
      <w:pPr>
        <w:pStyle w:val="FootnoteText"/>
        <w:rPr>
          <w:lang w:val="en-GB"/>
        </w:rPr>
      </w:pPr>
      <w:r w:rsidRPr="00010481">
        <w:rPr>
          <w:rStyle w:val="FootnoteReference"/>
          <w:lang w:val="en-GB"/>
        </w:rPr>
        <w:footnoteRef/>
      </w:r>
      <w:r w:rsidRPr="00010481">
        <w:rPr>
          <w:lang w:val="en-GB"/>
        </w:rPr>
        <w:t xml:space="preserve"> McKay, </w:t>
      </w:r>
      <w:r>
        <w:rPr>
          <w:lang w:val="en-GB"/>
        </w:rPr>
        <w:t>Sir William. (2004)</w:t>
      </w:r>
      <w:r>
        <w:rPr>
          <w:i/>
          <w:lang w:val="en-GB"/>
        </w:rPr>
        <w:t xml:space="preserve">. Erskine May’s Parliamentary Practice </w:t>
      </w:r>
      <w:r>
        <w:rPr>
          <w:lang w:val="en-GB"/>
        </w:rPr>
        <w:t>(23</w:t>
      </w:r>
      <w:r w:rsidRPr="005E3178">
        <w:rPr>
          <w:vertAlign w:val="superscript"/>
          <w:lang w:val="en-GB"/>
        </w:rPr>
        <w:t>rd</w:t>
      </w:r>
      <w:r>
        <w:rPr>
          <w:lang w:val="en-GB"/>
        </w:rPr>
        <w:t xml:space="preserve"> Ed.). London, UK: </w:t>
      </w:r>
      <w:proofErr w:type="spellStart"/>
      <w:r>
        <w:rPr>
          <w:lang w:val="en-GB"/>
        </w:rPr>
        <w:t>LexisNexus</w:t>
      </w:r>
      <w:proofErr w:type="spellEnd"/>
      <w:r>
        <w:rPr>
          <w:lang w:val="en-GB"/>
        </w:rPr>
        <w:t>,</w:t>
      </w:r>
      <w:r w:rsidRPr="00010481">
        <w:rPr>
          <w:lang w:val="en-GB"/>
        </w:rPr>
        <w:t xml:space="preserve"> p. 535. </w:t>
      </w:r>
    </w:p>
    <w:p w:rsidR="00057DC4" w:rsidRPr="00010481" w:rsidRDefault="00057DC4" w:rsidP="00764358">
      <w:pPr>
        <w:pStyle w:val="FootnoteText"/>
        <w:rPr>
          <w:lang w:val="en-GB"/>
        </w:rPr>
      </w:pPr>
    </w:p>
  </w:footnote>
  <w:footnote w:id="43">
    <w:p w:rsidR="00057DC4" w:rsidRPr="0036788F" w:rsidRDefault="00057DC4" w:rsidP="0036788F">
      <w:pPr>
        <w:pStyle w:val="FootnoteText"/>
        <w:rPr>
          <w:lang w:val="nl-NL"/>
        </w:rPr>
      </w:pPr>
      <w:r w:rsidRPr="00010481">
        <w:rPr>
          <w:rStyle w:val="FootnoteReference"/>
          <w:lang w:val="en-GB"/>
        </w:rPr>
        <w:footnoteRef/>
      </w:r>
      <w:r w:rsidRPr="0036788F">
        <w:rPr>
          <w:lang w:val="nl-NL"/>
        </w:rPr>
        <w:t xml:space="preserve"> Greenberg, Daniel. (2011), </w:t>
      </w:r>
      <w:r w:rsidRPr="0036788F">
        <w:rPr>
          <w:i/>
          <w:lang w:val="nl-NL"/>
        </w:rPr>
        <w:t>op. cit.</w:t>
      </w:r>
      <w:r w:rsidRPr="0036788F">
        <w:rPr>
          <w:lang w:val="nl-NL"/>
        </w:rPr>
        <w:t xml:space="preserve">, p. 102. </w:t>
      </w:r>
    </w:p>
    <w:p w:rsidR="00057DC4" w:rsidRPr="0036788F" w:rsidRDefault="00057DC4" w:rsidP="0036788F">
      <w:pPr>
        <w:pStyle w:val="FootnoteText"/>
        <w:rPr>
          <w:lang w:val="nl-NL"/>
        </w:rPr>
      </w:pPr>
    </w:p>
  </w:footnote>
  <w:footnote w:id="44">
    <w:p w:rsidR="00057DC4" w:rsidRPr="006A69FB" w:rsidRDefault="00057DC4" w:rsidP="005367C0">
      <w:pPr>
        <w:pStyle w:val="FootnoteText"/>
      </w:pPr>
      <w:r w:rsidRPr="00010481">
        <w:rPr>
          <w:rStyle w:val="FootnoteReference"/>
          <w:lang w:val="en-GB"/>
        </w:rPr>
        <w:footnoteRef/>
      </w:r>
      <w:r w:rsidRPr="006A69FB">
        <w:t xml:space="preserve"> </w:t>
      </w:r>
      <w:r w:rsidRPr="006A69FB">
        <w:rPr>
          <w:i/>
        </w:rPr>
        <w:t xml:space="preserve">Id., </w:t>
      </w:r>
      <w:r w:rsidRPr="006A69FB">
        <w:t xml:space="preserve">p. 55. </w:t>
      </w:r>
    </w:p>
    <w:p w:rsidR="00057DC4" w:rsidRPr="006A69FB" w:rsidRDefault="00057DC4" w:rsidP="005367C0">
      <w:pPr>
        <w:pStyle w:val="FootnoteText"/>
      </w:pPr>
    </w:p>
  </w:footnote>
  <w:footnote w:id="45">
    <w:p w:rsidR="00057DC4" w:rsidRPr="00010481" w:rsidRDefault="00057DC4" w:rsidP="005367C0">
      <w:pPr>
        <w:pStyle w:val="FootnoteText"/>
        <w:rPr>
          <w:i/>
          <w:lang w:val="en-GB"/>
        </w:rPr>
      </w:pPr>
      <w:r w:rsidRPr="00010481">
        <w:rPr>
          <w:rStyle w:val="FootnoteReference"/>
          <w:lang w:val="en-GB"/>
        </w:rPr>
        <w:footnoteRef/>
      </w:r>
      <w:r w:rsidRPr="00010481">
        <w:rPr>
          <w:lang w:val="en-GB"/>
        </w:rPr>
        <w:t xml:space="preserve"> </w:t>
      </w:r>
      <w:r w:rsidRPr="00010481">
        <w:rPr>
          <w:i/>
          <w:lang w:val="en-GB"/>
        </w:rPr>
        <w:t>Id.</w:t>
      </w:r>
    </w:p>
    <w:p w:rsidR="00057DC4" w:rsidRPr="00010481" w:rsidRDefault="00057DC4" w:rsidP="005367C0">
      <w:pPr>
        <w:pStyle w:val="FootnoteText"/>
        <w:rPr>
          <w:lang w:val="en-GB"/>
        </w:rPr>
      </w:pPr>
    </w:p>
  </w:footnote>
  <w:footnote w:id="46">
    <w:p w:rsidR="00057DC4" w:rsidRPr="00010481" w:rsidRDefault="00057DC4" w:rsidP="00764358">
      <w:pPr>
        <w:pStyle w:val="FootnoteText"/>
        <w:rPr>
          <w:i/>
          <w:lang w:val="en-GB"/>
        </w:rPr>
      </w:pPr>
      <w:r w:rsidRPr="00010481">
        <w:rPr>
          <w:rStyle w:val="FootnoteReference"/>
          <w:lang w:val="en-GB"/>
        </w:rPr>
        <w:footnoteRef/>
      </w:r>
      <w:r w:rsidRPr="00010481">
        <w:rPr>
          <w:lang w:val="en-GB"/>
        </w:rPr>
        <w:t xml:space="preserve"> </w:t>
      </w:r>
      <w:r w:rsidRPr="00010481">
        <w:rPr>
          <w:i/>
          <w:lang w:val="en-GB"/>
        </w:rPr>
        <w:t>Id.</w:t>
      </w:r>
    </w:p>
    <w:p w:rsidR="00057DC4" w:rsidRPr="00010481" w:rsidRDefault="00057DC4" w:rsidP="00764358">
      <w:pPr>
        <w:pStyle w:val="FootnoteText"/>
        <w:rPr>
          <w:lang w:val="en-GB"/>
        </w:rPr>
      </w:pPr>
    </w:p>
  </w:footnote>
  <w:footnote w:id="47">
    <w:p w:rsidR="00057DC4" w:rsidRPr="00C26B8F" w:rsidRDefault="00057DC4" w:rsidP="00007B3D">
      <w:pPr>
        <w:pStyle w:val="FootnoteText"/>
        <w:rPr>
          <w:lang w:val="en-GB"/>
        </w:rPr>
      </w:pPr>
      <w:r w:rsidRPr="00010481">
        <w:rPr>
          <w:rStyle w:val="FootnoteReference"/>
          <w:lang w:val="en-GB"/>
        </w:rPr>
        <w:footnoteRef/>
      </w:r>
      <w:r w:rsidRPr="00FD5241">
        <w:rPr>
          <w:lang w:val="nl-NL"/>
        </w:rPr>
        <w:t xml:space="preserve"> </w:t>
      </w:r>
      <w:r w:rsidRPr="00C26B8F">
        <w:rPr>
          <w:lang w:val="en-GB"/>
        </w:rPr>
        <w:t xml:space="preserve">Greenberg, Daniel (2008), </w:t>
      </w:r>
      <w:r w:rsidRPr="00C26B8F">
        <w:rPr>
          <w:i/>
          <w:lang w:val="en-GB"/>
        </w:rPr>
        <w:t>op. cit.</w:t>
      </w:r>
      <w:r w:rsidRPr="00C26B8F">
        <w:rPr>
          <w:lang w:val="en-GB"/>
        </w:rPr>
        <w:t xml:space="preserve">, p. 102. He goes on to note that ‘It is also important to avoid a short title which amounts to propaganda in the sense of an attempt to praise or justify the policy of the Bill: in an extreme case the Speaker of the House of Commons might refuse to print a Bill which a short title which was thought to mislead or to amount to an abuse of the procedures of the House.’ (pp. 102-103). </w:t>
      </w:r>
    </w:p>
    <w:p w:rsidR="00057DC4" w:rsidRPr="00010481" w:rsidRDefault="00057DC4" w:rsidP="00007B3D">
      <w:pPr>
        <w:pStyle w:val="FootnoteText"/>
        <w:rPr>
          <w:lang w:val="en-GB"/>
        </w:rPr>
      </w:pPr>
    </w:p>
  </w:footnote>
  <w:footnote w:id="48">
    <w:p w:rsidR="00057DC4" w:rsidRPr="00010481" w:rsidRDefault="00057DC4" w:rsidP="00764358">
      <w:pPr>
        <w:pStyle w:val="FootnoteText"/>
        <w:rPr>
          <w:lang w:val="en-GB"/>
        </w:rPr>
      </w:pPr>
      <w:r w:rsidRPr="00010481">
        <w:rPr>
          <w:rStyle w:val="FootnoteReference"/>
          <w:lang w:val="en-GB"/>
        </w:rPr>
        <w:footnoteRef/>
      </w:r>
      <w:r w:rsidRPr="00010481">
        <w:rPr>
          <w:lang w:val="en-GB"/>
        </w:rPr>
        <w:t xml:space="preserve"> Jack, Sir Malcolm., </w:t>
      </w:r>
      <w:r w:rsidRPr="00010481">
        <w:rPr>
          <w:i/>
          <w:lang w:val="en-GB"/>
        </w:rPr>
        <w:t>op. cit.</w:t>
      </w:r>
      <w:r w:rsidRPr="00010481">
        <w:rPr>
          <w:lang w:val="en-GB"/>
        </w:rPr>
        <w:t>, p. 526.</w:t>
      </w:r>
    </w:p>
    <w:p w:rsidR="00057DC4" w:rsidRPr="00010481" w:rsidRDefault="00057DC4" w:rsidP="00764358">
      <w:pPr>
        <w:pStyle w:val="FootnoteText"/>
        <w:rPr>
          <w:lang w:val="en-GB"/>
        </w:rPr>
      </w:pPr>
    </w:p>
  </w:footnote>
  <w:footnote w:id="49">
    <w:p w:rsidR="00057DC4" w:rsidRPr="00E55290" w:rsidRDefault="00057DC4" w:rsidP="00DF28DC">
      <w:pPr>
        <w:pStyle w:val="FootnoteText"/>
        <w:rPr>
          <w:lang w:val="en-GB"/>
        </w:rPr>
      </w:pPr>
      <w:r w:rsidRPr="00E55290">
        <w:rPr>
          <w:rStyle w:val="FootnoteReference"/>
          <w:lang w:val="en-GB"/>
        </w:rPr>
        <w:footnoteRef/>
      </w:r>
      <w:r w:rsidRPr="00E55290">
        <w:rPr>
          <w:lang w:val="en-GB"/>
        </w:rPr>
        <w:t xml:space="preserve"> </w:t>
      </w:r>
      <w:r w:rsidR="00F838CB" w:rsidRPr="00F838CB">
        <w:rPr>
          <w:i/>
          <w:lang w:val="en-GB"/>
        </w:rPr>
        <w:t>Id</w:t>
      </w:r>
      <w:r w:rsidR="00F838CB">
        <w:rPr>
          <w:lang w:val="en-GB"/>
        </w:rPr>
        <w:t>.,</w:t>
      </w:r>
      <w:r w:rsidRPr="00E55290">
        <w:rPr>
          <w:lang w:val="en-GB"/>
        </w:rPr>
        <w:t xml:space="preserve"> pp. 583-84. </w:t>
      </w:r>
    </w:p>
    <w:p w:rsidR="00057DC4" w:rsidRPr="00E55290" w:rsidRDefault="00057DC4" w:rsidP="00DF28DC">
      <w:pPr>
        <w:pStyle w:val="FootnoteText"/>
        <w:rPr>
          <w:lang w:val="en-GB"/>
        </w:rPr>
      </w:pPr>
    </w:p>
  </w:footnote>
  <w:footnote w:id="50">
    <w:p w:rsidR="00057DC4" w:rsidRPr="00E55290" w:rsidRDefault="00057DC4" w:rsidP="00DF28DC">
      <w:pPr>
        <w:pStyle w:val="FootnoteText"/>
        <w:rPr>
          <w:lang w:val="en-GB"/>
        </w:rPr>
      </w:pPr>
      <w:r w:rsidRPr="00E55290">
        <w:rPr>
          <w:rStyle w:val="FootnoteReference"/>
          <w:lang w:val="en-GB"/>
        </w:rPr>
        <w:footnoteRef/>
      </w:r>
      <w:r w:rsidRPr="00E55290">
        <w:rPr>
          <w:lang w:val="en-GB"/>
        </w:rPr>
        <w:t xml:space="preserve"> </w:t>
      </w:r>
      <w:r w:rsidRPr="00E55290">
        <w:rPr>
          <w:i/>
          <w:lang w:val="en-GB"/>
        </w:rPr>
        <w:t>Id.</w:t>
      </w:r>
      <w:r w:rsidRPr="00E55290">
        <w:rPr>
          <w:lang w:val="en-GB"/>
        </w:rPr>
        <w:t xml:space="preserve">, pp. 609. </w:t>
      </w:r>
    </w:p>
    <w:p w:rsidR="00057DC4" w:rsidRPr="00E55290" w:rsidRDefault="00057DC4" w:rsidP="00DF28DC">
      <w:pPr>
        <w:pStyle w:val="FootnoteText"/>
        <w:rPr>
          <w:lang w:val="en-GB"/>
        </w:rPr>
      </w:pPr>
    </w:p>
  </w:footnote>
  <w:footnote w:id="51">
    <w:p w:rsidR="00057DC4" w:rsidRPr="00E55290" w:rsidRDefault="00057DC4" w:rsidP="00DF28DC">
      <w:pPr>
        <w:pStyle w:val="FootnoteText"/>
        <w:rPr>
          <w:lang w:val="en-GB"/>
        </w:rPr>
      </w:pPr>
      <w:r w:rsidRPr="00E55290">
        <w:rPr>
          <w:rStyle w:val="FootnoteReference"/>
          <w:lang w:val="en-GB"/>
        </w:rPr>
        <w:footnoteRef/>
      </w:r>
      <w:r w:rsidRPr="00E55290">
        <w:rPr>
          <w:lang w:val="en-GB"/>
        </w:rPr>
        <w:t xml:space="preserve"> </w:t>
      </w:r>
      <w:r w:rsidRPr="00E55290">
        <w:rPr>
          <w:i/>
          <w:lang w:val="en-GB"/>
        </w:rPr>
        <w:t>Id.</w:t>
      </w:r>
      <w:r w:rsidRPr="00E55290">
        <w:rPr>
          <w:lang w:val="en-GB"/>
        </w:rPr>
        <w:t xml:space="preserve">, p. 610-611. </w:t>
      </w:r>
    </w:p>
    <w:p w:rsidR="00057DC4" w:rsidRPr="00E55290" w:rsidRDefault="00057DC4" w:rsidP="00DF28DC">
      <w:pPr>
        <w:pStyle w:val="FootnoteText"/>
        <w:rPr>
          <w:lang w:val="en-GB"/>
        </w:rPr>
      </w:pPr>
    </w:p>
  </w:footnote>
  <w:footnote w:id="52">
    <w:p w:rsidR="00057DC4" w:rsidRPr="00E55290" w:rsidRDefault="00057DC4" w:rsidP="00DF28DC">
      <w:pPr>
        <w:pStyle w:val="FootnoteText"/>
        <w:rPr>
          <w:lang w:val="en-GB"/>
        </w:rPr>
      </w:pPr>
      <w:r w:rsidRPr="00E55290">
        <w:rPr>
          <w:rStyle w:val="FootnoteReference"/>
          <w:lang w:val="en-GB"/>
        </w:rPr>
        <w:footnoteRef/>
      </w:r>
      <w:r w:rsidRPr="00E55290">
        <w:rPr>
          <w:lang w:val="en-GB"/>
        </w:rPr>
        <w:t xml:space="preserve"> </w:t>
      </w:r>
      <w:r w:rsidRPr="00E55290">
        <w:rPr>
          <w:i/>
          <w:lang w:val="en-GB"/>
        </w:rPr>
        <w:t>Id.</w:t>
      </w:r>
      <w:r w:rsidRPr="00E55290">
        <w:rPr>
          <w:lang w:val="en-GB"/>
        </w:rPr>
        <w:t xml:space="preserve">, p. 591. </w:t>
      </w:r>
    </w:p>
    <w:p w:rsidR="00057DC4" w:rsidRPr="00E55290" w:rsidRDefault="00057DC4" w:rsidP="00DF28DC">
      <w:pPr>
        <w:pStyle w:val="FootnoteText"/>
        <w:rPr>
          <w:lang w:val="en-GB"/>
        </w:rPr>
      </w:pPr>
    </w:p>
  </w:footnote>
  <w:footnote w:id="53">
    <w:p w:rsidR="00057DC4" w:rsidRDefault="00057DC4">
      <w:pPr>
        <w:pStyle w:val="FootnoteText"/>
      </w:pPr>
      <w:r>
        <w:rPr>
          <w:rStyle w:val="FootnoteReference"/>
        </w:rPr>
        <w:footnoteRef/>
      </w:r>
      <w:r>
        <w:t xml:space="preserve"> Yet, this is not completely out of the questio</w:t>
      </w:r>
      <w:r w:rsidR="00F838CB">
        <w:t xml:space="preserve">n. During the 2010-12 </w:t>
      </w:r>
      <w:proofErr w:type="gramStart"/>
      <w:r w:rsidR="00F838CB">
        <w:t>session</w:t>
      </w:r>
      <w:proofErr w:type="gramEnd"/>
      <w:r w:rsidR="00F838CB">
        <w:t xml:space="preserve"> it happened once: a </w:t>
      </w:r>
      <w:r>
        <w:t xml:space="preserve">Public Bill Committee changed the Local Government Ombudsman (Amendment) Bill to the Local Government (Review of Decisions) Bill. </w:t>
      </w:r>
    </w:p>
  </w:footnote>
  <w:footnote w:id="54">
    <w:p w:rsidR="00057DC4" w:rsidRPr="00E55290" w:rsidRDefault="00057DC4" w:rsidP="00270C2B">
      <w:pPr>
        <w:pStyle w:val="FootnoteText"/>
        <w:rPr>
          <w:lang w:val="en-GB"/>
        </w:rPr>
      </w:pPr>
      <w:r w:rsidRPr="00E55290">
        <w:rPr>
          <w:rStyle w:val="FootnoteReference"/>
          <w:lang w:val="en-GB"/>
        </w:rPr>
        <w:footnoteRef/>
      </w:r>
      <w:r w:rsidRPr="00E55290">
        <w:rPr>
          <w:lang w:val="en-GB"/>
        </w:rPr>
        <w:t xml:space="preserve"> </w:t>
      </w:r>
      <w:proofErr w:type="gramStart"/>
      <w:r w:rsidRPr="00E55290">
        <w:rPr>
          <w:lang w:val="en-GB"/>
        </w:rPr>
        <w:t>The Scottish Parliament.</w:t>
      </w:r>
      <w:proofErr w:type="gramEnd"/>
      <w:r w:rsidRPr="00E55290">
        <w:rPr>
          <w:lang w:val="en-GB"/>
        </w:rPr>
        <w:t xml:space="preserve"> </w:t>
      </w:r>
      <w:proofErr w:type="gramStart"/>
      <w:r w:rsidRPr="00E55290">
        <w:rPr>
          <w:lang w:val="en-GB"/>
        </w:rPr>
        <w:t>Guidance on Public Bills.</w:t>
      </w:r>
      <w:proofErr w:type="gramEnd"/>
      <w:r w:rsidRPr="00E55290">
        <w:rPr>
          <w:lang w:val="en-GB"/>
        </w:rPr>
        <w:t xml:space="preserve"> Annex A: Form and Content of Bills. Available at: </w:t>
      </w:r>
      <w:hyperlink r:id="rId8" w:history="1">
        <w:r w:rsidRPr="00E55290">
          <w:rPr>
            <w:rStyle w:val="Hyperlink"/>
            <w:i/>
            <w:lang w:val="en-GB"/>
          </w:rPr>
          <w:t>http://www.scottish.parliament.uk</w:t>
        </w:r>
        <w:r w:rsidRPr="00E55290">
          <w:rPr>
            <w:rStyle w:val="Hyperlink"/>
            <w:i/>
            <w:lang w:val="en-GB"/>
          </w:rPr>
          <w:t>/</w:t>
        </w:r>
        <w:r w:rsidRPr="00E55290">
          <w:rPr>
            <w:rStyle w:val="Hyperlink"/>
            <w:i/>
            <w:lang w:val="en-GB"/>
          </w:rPr>
          <w:t>parliamentarybusiness/Bills/25697.aspx</w:t>
        </w:r>
      </w:hyperlink>
      <w:r>
        <w:t xml:space="preserve">; </w:t>
      </w:r>
      <w:proofErr w:type="gramStart"/>
      <w:r>
        <w:t>This</w:t>
      </w:r>
      <w:proofErr w:type="gramEnd"/>
      <w:r>
        <w:t xml:space="preserve"> was also noted in </w:t>
      </w:r>
      <w:r w:rsidR="00A50746">
        <w:t xml:space="preserve">Jones, Brian Christopher (2012), </w:t>
      </w:r>
      <w:proofErr w:type="spellStart"/>
      <w:r w:rsidR="00A50746" w:rsidRPr="00A50746">
        <w:rPr>
          <w:i/>
        </w:rPr>
        <w:t>Legisprudence</w:t>
      </w:r>
      <w:proofErr w:type="spellEnd"/>
      <w:r>
        <w:t xml:space="preserve">. </w:t>
      </w:r>
    </w:p>
    <w:p w:rsidR="00057DC4" w:rsidRPr="00E55290" w:rsidRDefault="00057DC4" w:rsidP="00270C2B">
      <w:pPr>
        <w:pStyle w:val="FootnoteText"/>
        <w:rPr>
          <w:lang w:val="en-GB"/>
        </w:rPr>
      </w:pPr>
    </w:p>
  </w:footnote>
  <w:footnote w:id="55">
    <w:p w:rsidR="00057DC4" w:rsidRDefault="00057DC4">
      <w:pPr>
        <w:pStyle w:val="FootnoteText"/>
      </w:pPr>
      <w:r>
        <w:rPr>
          <w:rStyle w:val="FootnoteReference"/>
        </w:rPr>
        <w:footnoteRef/>
      </w:r>
      <w:r>
        <w:t xml:space="preserve"> </w:t>
      </w:r>
      <w:proofErr w:type="gramStart"/>
      <w:r>
        <w:t>Australian Parliamentary Counsel.</w:t>
      </w:r>
      <w:proofErr w:type="gramEnd"/>
      <w:r>
        <w:t xml:space="preserve"> (2006). Drafting Directive 1.1: Long titles and short titles of Bills and references to proposed Acts’. Available at: </w:t>
      </w:r>
      <w:hyperlink r:id="rId9" w:history="1">
        <w:r w:rsidRPr="00CB7AF5">
          <w:rPr>
            <w:rStyle w:val="Hyperlink"/>
            <w:i/>
          </w:rPr>
          <w:t>http://www.opc.gov.au/about/drafting_series/DD1.1.pdf</w:t>
        </w:r>
      </w:hyperlink>
    </w:p>
    <w:p w:rsidR="00057DC4" w:rsidRDefault="00057DC4">
      <w:pPr>
        <w:pStyle w:val="FootnoteText"/>
      </w:pPr>
    </w:p>
  </w:footnote>
  <w:footnote w:id="56">
    <w:p w:rsidR="00057DC4" w:rsidRDefault="00057DC4">
      <w:pPr>
        <w:pStyle w:val="FootnoteText"/>
      </w:pPr>
      <w:r>
        <w:rPr>
          <w:rStyle w:val="FootnoteReference"/>
        </w:rPr>
        <w:footnoteRef/>
      </w:r>
      <w:r>
        <w:t xml:space="preserve"> Canadian Guide to Making Federal Act and Regulations (2</w:t>
      </w:r>
      <w:r w:rsidRPr="00F4389C">
        <w:rPr>
          <w:vertAlign w:val="superscript"/>
        </w:rPr>
        <w:t>nd</w:t>
      </w:r>
      <w:r>
        <w:t xml:space="preserve"> Ed.), Part 2: Making Acts, Chapter 2.2: Development and Cabinet Approval of Policy, p. 84. Available at: </w:t>
      </w:r>
      <w:hyperlink r:id="rId10" w:history="1">
        <w:r w:rsidRPr="001368F8">
          <w:rPr>
            <w:rStyle w:val="Hyperlink"/>
            <w:i/>
          </w:rPr>
          <w:t>http://www.pco-bcp.gc.ca/docs/information/publications/legislation/pdf-eng.pdf</w:t>
        </w:r>
      </w:hyperlink>
    </w:p>
    <w:p w:rsidR="00057DC4" w:rsidRDefault="00057DC4">
      <w:pPr>
        <w:pStyle w:val="FootnoteText"/>
      </w:pPr>
    </w:p>
  </w:footnote>
  <w:footnote w:id="57">
    <w:p w:rsidR="00057DC4" w:rsidRDefault="00057DC4">
      <w:pPr>
        <w:pStyle w:val="FootnoteText"/>
      </w:pPr>
      <w:r>
        <w:rPr>
          <w:rStyle w:val="FootnoteReference"/>
        </w:rPr>
        <w:footnoteRef/>
      </w:r>
      <w:r>
        <w:t xml:space="preserve"> For </w:t>
      </w:r>
      <w:r w:rsidR="0040452B">
        <w:t>further</w:t>
      </w:r>
      <w:r>
        <w:t xml:space="preserve"> information about this, see: Jones, Brian Christopher. (2012). Drafting Proper Short Titles: Do States Have the Answer? </w:t>
      </w:r>
      <w:r w:rsidRPr="007B3C46">
        <w:rPr>
          <w:i/>
        </w:rPr>
        <w:t>Stanford Law and Policy Review</w:t>
      </w:r>
      <w:r>
        <w:t>, 23</w:t>
      </w:r>
      <w:r w:rsidR="0088575B">
        <w:t>, 455-476</w:t>
      </w:r>
      <w:r>
        <w:t xml:space="preserve"> (forthcoming). </w:t>
      </w:r>
    </w:p>
    <w:p w:rsidR="00057DC4" w:rsidRDefault="00057DC4">
      <w:pPr>
        <w:pStyle w:val="FootnoteText"/>
      </w:pPr>
    </w:p>
  </w:footnote>
  <w:footnote w:id="58">
    <w:p w:rsidR="00057DC4" w:rsidRPr="00D344FC" w:rsidRDefault="00057DC4" w:rsidP="000B2E24">
      <w:pPr>
        <w:pStyle w:val="NoSpacing"/>
        <w:rPr>
          <w:sz w:val="20"/>
          <w:szCs w:val="20"/>
        </w:rPr>
      </w:pPr>
      <w:r w:rsidRPr="00010481">
        <w:rPr>
          <w:rStyle w:val="FootnoteReference"/>
          <w:sz w:val="20"/>
          <w:szCs w:val="20"/>
          <w:lang w:val="en-GB"/>
        </w:rPr>
        <w:footnoteRef/>
      </w:r>
      <w:r w:rsidRPr="00D344FC">
        <w:rPr>
          <w:sz w:val="20"/>
          <w:szCs w:val="20"/>
        </w:rPr>
        <w:t xml:space="preserve"> HC6</w:t>
      </w:r>
    </w:p>
    <w:p w:rsidR="00057DC4" w:rsidRPr="00D344FC" w:rsidRDefault="00057DC4" w:rsidP="000B2E24">
      <w:pPr>
        <w:pStyle w:val="NoSpacing"/>
        <w:rPr>
          <w:sz w:val="20"/>
          <w:szCs w:val="20"/>
        </w:rPr>
      </w:pPr>
    </w:p>
  </w:footnote>
  <w:footnote w:id="59">
    <w:p w:rsidR="00057DC4" w:rsidRPr="00D344FC" w:rsidRDefault="00057DC4" w:rsidP="000B2E24">
      <w:pPr>
        <w:pStyle w:val="FootnoteText"/>
      </w:pPr>
      <w:r w:rsidRPr="00010481">
        <w:rPr>
          <w:rStyle w:val="FootnoteReference"/>
          <w:lang w:val="en-GB"/>
        </w:rPr>
        <w:footnoteRef/>
      </w:r>
      <w:r w:rsidRPr="00D344FC">
        <w:t xml:space="preserve"> </w:t>
      </w:r>
      <w:proofErr w:type="gramStart"/>
      <w:r w:rsidRPr="00D344FC">
        <w:t xml:space="preserve">Fox, Ruth &amp; </w:t>
      </w:r>
      <w:proofErr w:type="spellStart"/>
      <w:r w:rsidRPr="00D344FC">
        <w:t>Korris</w:t>
      </w:r>
      <w:proofErr w:type="spellEnd"/>
      <w:r w:rsidRPr="00D344FC">
        <w:t>, Matt.</w:t>
      </w:r>
      <w:proofErr w:type="gramEnd"/>
      <w:r w:rsidRPr="00D344FC">
        <w:t xml:space="preserve"> (2010). </w:t>
      </w:r>
      <w:r w:rsidRPr="00D344FC">
        <w:rPr>
          <w:i/>
        </w:rPr>
        <w:t>Making Better Law: Reform of the Legislative Process from Policy to Act</w:t>
      </w:r>
      <w:r w:rsidRPr="00D344FC">
        <w:t xml:space="preserve">. London, UK: The </w:t>
      </w:r>
      <w:proofErr w:type="spellStart"/>
      <w:r w:rsidRPr="00D344FC">
        <w:t>Hansard</w:t>
      </w:r>
      <w:proofErr w:type="spellEnd"/>
      <w:r w:rsidRPr="00D344FC">
        <w:t xml:space="preserve"> Society, p. 99. </w:t>
      </w:r>
    </w:p>
    <w:p w:rsidR="00057DC4" w:rsidRPr="00D344FC" w:rsidRDefault="00057DC4" w:rsidP="000B2E24">
      <w:pPr>
        <w:pStyle w:val="FootnoteText"/>
      </w:pPr>
    </w:p>
  </w:footnote>
  <w:footnote w:id="60">
    <w:p w:rsidR="00057DC4" w:rsidRPr="00010481" w:rsidRDefault="00057DC4" w:rsidP="000B2E24">
      <w:pPr>
        <w:pStyle w:val="FootnoteText"/>
        <w:rPr>
          <w:lang w:val="en-GB"/>
        </w:rPr>
      </w:pPr>
      <w:r w:rsidRPr="00010481">
        <w:rPr>
          <w:rStyle w:val="FootnoteReference"/>
          <w:lang w:val="en-GB"/>
        </w:rPr>
        <w:footnoteRef/>
      </w:r>
      <w:r w:rsidRPr="00010481">
        <w:rPr>
          <w:lang w:val="en-GB"/>
        </w:rPr>
        <w:t xml:space="preserve"> </w:t>
      </w:r>
      <w:proofErr w:type="spellStart"/>
      <w:r w:rsidRPr="00010481">
        <w:rPr>
          <w:lang w:val="en-GB"/>
        </w:rPr>
        <w:t>Korris</w:t>
      </w:r>
      <w:proofErr w:type="spellEnd"/>
      <w:r w:rsidRPr="00010481">
        <w:rPr>
          <w:lang w:val="en-GB"/>
        </w:rPr>
        <w:t xml:space="preserve">, Matt. (2011). Standing Up for Scrutiny: How and Why Parliament Should Make Better Law. </w:t>
      </w:r>
      <w:r w:rsidRPr="00010481">
        <w:rPr>
          <w:i/>
          <w:lang w:val="en-GB"/>
        </w:rPr>
        <w:t>Parliamentary Affairs</w:t>
      </w:r>
      <w:r w:rsidRPr="00010481">
        <w:rPr>
          <w:lang w:val="en-GB"/>
        </w:rPr>
        <w:t xml:space="preserve">, 64(3), 564-574. </w:t>
      </w:r>
    </w:p>
    <w:p w:rsidR="00057DC4" w:rsidRPr="00010481" w:rsidRDefault="00057DC4" w:rsidP="000B2E24">
      <w:pPr>
        <w:pStyle w:val="FootnoteText"/>
        <w:rPr>
          <w:lang w:val="en-GB"/>
        </w:rPr>
      </w:pPr>
    </w:p>
  </w:footnote>
  <w:footnote w:id="61">
    <w:p w:rsidR="00057DC4" w:rsidRDefault="00057DC4">
      <w:pPr>
        <w:pStyle w:val="FootnoteText"/>
        <w:rPr>
          <w:lang w:val="nl-NL"/>
        </w:rPr>
      </w:pPr>
      <w:r>
        <w:rPr>
          <w:rStyle w:val="FootnoteReference"/>
        </w:rPr>
        <w:footnoteRef/>
      </w:r>
      <w:r>
        <w:t xml:space="preserve"> </w:t>
      </w:r>
      <w:r w:rsidRPr="006A69FB">
        <w:rPr>
          <w:lang w:val="nl-NL"/>
        </w:rPr>
        <w:t>UKBD1</w:t>
      </w:r>
    </w:p>
    <w:p w:rsidR="00057DC4" w:rsidRDefault="00057DC4">
      <w:pPr>
        <w:pStyle w:val="FootnoteText"/>
      </w:pPr>
    </w:p>
  </w:footnote>
  <w:footnote w:id="62">
    <w:p w:rsidR="00057DC4" w:rsidRPr="006A69FB" w:rsidRDefault="00057DC4" w:rsidP="00764358">
      <w:pPr>
        <w:pStyle w:val="NoSpacing"/>
        <w:rPr>
          <w:i/>
          <w:sz w:val="20"/>
          <w:szCs w:val="20"/>
          <w:lang w:val="nl-NL"/>
        </w:rPr>
      </w:pPr>
      <w:r w:rsidRPr="00010481">
        <w:rPr>
          <w:rStyle w:val="FootnoteReference"/>
          <w:sz w:val="20"/>
          <w:szCs w:val="20"/>
          <w:lang w:val="en-GB"/>
        </w:rPr>
        <w:footnoteRef/>
      </w:r>
      <w:r w:rsidRPr="006A69FB">
        <w:rPr>
          <w:sz w:val="20"/>
          <w:szCs w:val="20"/>
          <w:lang w:val="nl-NL"/>
        </w:rPr>
        <w:t xml:space="preserve"> </w:t>
      </w:r>
      <w:r w:rsidRPr="006A69FB">
        <w:rPr>
          <w:i/>
          <w:sz w:val="20"/>
          <w:szCs w:val="20"/>
          <w:lang w:val="nl-NL"/>
        </w:rPr>
        <w:t>Id.</w:t>
      </w:r>
    </w:p>
    <w:p w:rsidR="00057DC4" w:rsidRPr="006A69FB" w:rsidRDefault="00057DC4" w:rsidP="00764358">
      <w:pPr>
        <w:pStyle w:val="NoSpacing"/>
        <w:rPr>
          <w:sz w:val="20"/>
          <w:szCs w:val="20"/>
          <w:lang w:val="nl-N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1CA"/>
    <w:multiLevelType w:val="hybridMultilevel"/>
    <w:tmpl w:val="9D9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3126B"/>
    <w:multiLevelType w:val="hybridMultilevel"/>
    <w:tmpl w:val="2F6E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E22FE"/>
    <w:rsid w:val="0000651C"/>
    <w:rsid w:val="00007B3D"/>
    <w:rsid w:val="00010481"/>
    <w:rsid w:val="000371D5"/>
    <w:rsid w:val="000405F6"/>
    <w:rsid w:val="00042F3A"/>
    <w:rsid w:val="00047B67"/>
    <w:rsid w:val="00052D1B"/>
    <w:rsid w:val="00057DC4"/>
    <w:rsid w:val="000630C8"/>
    <w:rsid w:val="0007328C"/>
    <w:rsid w:val="0007357B"/>
    <w:rsid w:val="00082826"/>
    <w:rsid w:val="00083521"/>
    <w:rsid w:val="00090C6F"/>
    <w:rsid w:val="00096E54"/>
    <w:rsid w:val="000B2E24"/>
    <w:rsid w:val="000C377C"/>
    <w:rsid w:val="000F271B"/>
    <w:rsid w:val="00124502"/>
    <w:rsid w:val="001311F6"/>
    <w:rsid w:val="00133CE4"/>
    <w:rsid w:val="001368F8"/>
    <w:rsid w:val="0013696B"/>
    <w:rsid w:val="0013784D"/>
    <w:rsid w:val="00193F90"/>
    <w:rsid w:val="001A4F13"/>
    <w:rsid w:val="001B4B17"/>
    <w:rsid w:val="001D2940"/>
    <w:rsid w:val="001D3924"/>
    <w:rsid w:val="001D503B"/>
    <w:rsid w:val="001E22FE"/>
    <w:rsid w:val="001F178B"/>
    <w:rsid w:val="00215F5E"/>
    <w:rsid w:val="002521C3"/>
    <w:rsid w:val="00270350"/>
    <w:rsid w:val="00270C2B"/>
    <w:rsid w:val="00293ABB"/>
    <w:rsid w:val="002950D9"/>
    <w:rsid w:val="002B244B"/>
    <w:rsid w:val="002B43DD"/>
    <w:rsid w:val="002B7D22"/>
    <w:rsid w:val="002C3CF2"/>
    <w:rsid w:val="002C3DAB"/>
    <w:rsid w:val="002D08FF"/>
    <w:rsid w:val="002D1E2D"/>
    <w:rsid w:val="0030616F"/>
    <w:rsid w:val="00306200"/>
    <w:rsid w:val="00306AC4"/>
    <w:rsid w:val="003127E9"/>
    <w:rsid w:val="003142B1"/>
    <w:rsid w:val="003150F8"/>
    <w:rsid w:val="003153F2"/>
    <w:rsid w:val="00322600"/>
    <w:rsid w:val="00327BDB"/>
    <w:rsid w:val="0033244C"/>
    <w:rsid w:val="003375DA"/>
    <w:rsid w:val="003405CC"/>
    <w:rsid w:val="00344376"/>
    <w:rsid w:val="00356E5C"/>
    <w:rsid w:val="00364821"/>
    <w:rsid w:val="00364C29"/>
    <w:rsid w:val="0036788F"/>
    <w:rsid w:val="00375B41"/>
    <w:rsid w:val="003A2FCC"/>
    <w:rsid w:val="003B1725"/>
    <w:rsid w:val="003B189D"/>
    <w:rsid w:val="003B43CF"/>
    <w:rsid w:val="003C6733"/>
    <w:rsid w:val="003C71F5"/>
    <w:rsid w:val="003D7A82"/>
    <w:rsid w:val="003E67EB"/>
    <w:rsid w:val="003F4127"/>
    <w:rsid w:val="003F7C52"/>
    <w:rsid w:val="0040452B"/>
    <w:rsid w:val="00412EB2"/>
    <w:rsid w:val="00424996"/>
    <w:rsid w:val="004403DF"/>
    <w:rsid w:val="004453FA"/>
    <w:rsid w:val="00466EBF"/>
    <w:rsid w:val="00484DEE"/>
    <w:rsid w:val="0048597E"/>
    <w:rsid w:val="004B1069"/>
    <w:rsid w:val="004E403D"/>
    <w:rsid w:val="004E504A"/>
    <w:rsid w:val="005046EC"/>
    <w:rsid w:val="0052130F"/>
    <w:rsid w:val="005367C0"/>
    <w:rsid w:val="005418D8"/>
    <w:rsid w:val="0055386E"/>
    <w:rsid w:val="00557C9D"/>
    <w:rsid w:val="00557E63"/>
    <w:rsid w:val="00564924"/>
    <w:rsid w:val="00567BAA"/>
    <w:rsid w:val="00567E74"/>
    <w:rsid w:val="0057772F"/>
    <w:rsid w:val="005976B4"/>
    <w:rsid w:val="005978F6"/>
    <w:rsid w:val="005A08B5"/>
    <w:rsid w:val="005B60C0"/>
    <w:rsid w:val="005D12EB"/>
    <w:rsid w:val="005D3AC6"/>
    <w:rsid w:val="005D5DE4"/>
    <w:rsid w:val="005E3178"/>
    <w:rsid w:val="00605DD1"/>
    <w:rsid w:val="006151B2"/>
    <w:rsid w:val="00624F93"/>
    <w:rsid w:val="00627356"/>
    <w:rsid w:val="00636BA4"/>
    <w:rsid w:val="00653763"/>
    <w:rsid w:val="006572CB"/>
    <w:rsid w:val="006575C4"/>
    <w:rsid w:val="0066692A"/>
    <w:rsid w:val="00667D96"/>
    <w:rsid w:val="00677DCF"/>
    <w:rsid w:val="006A69FB"/>
    <w:rsid w:val="006B4DF9"/>
    <w:rsid w:val="006B6C5B"/>
    <w:rsid w:val="006C6F41"/>
    <w:rsid w:val="006E6CF5"/>
    <w:rsid w:val="006F342C"/>
    <w:rsid w:val="00710DBA"/>
    <w:rsid w:val="007118AD"/>
    <w:rsid w:val="00713E08"/>
    <w:rsid w:val="00723368"/>
    <w:rsid w:val="00731A14"/>
    <w:rsid w:val="0073386B"/>
    <w:rsid w:val="00760BBB"/>
    <w:rsid w:val="00764358"/>
    <w:rsid w:val="007D5731"/>
    <w:rsid w:val="007F3005"/>
    <w:rsid w:val="00802796"/>
    <w:rsid w:val="008237B8"/>
    <w:rsid w:val="008239C9"/>
    <w:rsid w:val="00862BF9"/>
    <w:rsid w:val="0088575B"/>
    <w:rsid w:val="008F0D57"/>
    <w:rsid w:val="009268BA"/>
    <w:rsid w:val="00943708"/>
    <w:rsid w:val="009E54FD"/>
    <w:rsid w:val="00A31C19"/>
    <w:rsid w:val="00A40590"/>
    <w:rsid w:val="00A50746"/>
    <w:rsid w:val="00A65653"/>
    <w:rsid w:val="00A73041"/>
    <w:rsid w:val="00B00752"/>
    <w:rsid w:val="00B12309"/>
    <w:rsid w:val="00B42EEC"/>
    <w:rsid w:val="00BE5167"/>
    <w:rsid w:val="00BE63E0"/>
    <w:rsid w:val="00C26B8F"/>
    <w:rsid w:val="00C34E26"/>
    <w:rsid w:val="00C7514B"/>
    <w:rsid w:val="00CD639E"/>
    <w:rsid w:val="00CE09F1"/>
    <w:rsid w:val="00D144FE"/>
    <w:rsid w:val="00D344FC"/>
    <w:rsid w:val="00D9321D"/>
    <w:rsid w:val="00DA63C6"/>
    <w:rsid w:val="00DB3FF0"/>
    <w:rsid w:val="00DF28DC"/>
    <w:rsid w:val="00DF3F5D"/>
    <w:rsid w:val="00DF47F2"/>
    <w:rsid w:val="00E76298"/>
    <w:rsid w:val="00E801C4"/>
    <w:rsid w:val="00ED10DD"/>
    <w:rsid w:val="00EF6A24"/>
    <w:rsid w:val="00F838CB"/>
    <w:rsid w:val="00F91982"/>
    <w:rsid w:val="00FA3EE8"/>
    <w:rsid w:val="00FA50F0"/>
    <w:rsid w:val="00FC3E81"/>
    <w:rsid w:val="00FE41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2FE"/>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22F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1E22FE"/>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1E22FE"/>
    <w:rPr>
      <w:vertAlign w:val="superscript"/>
    </w:rPr>
  </w:style>
  <w:style w:type="paragraph" w:styleId="NoSpacing">
    <w:name w:val="No Spacing"/>
    <w:uiPriority w:val="1"/>
    <w:qFormat/>
    <w:rsid w:val="001E22FE"/>
    <w:pPr>
      <w:spacing w:after="0"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C1650D"/>
    <w:rPr>
      <w:color w:val="0000FF"/>
      <w:u w:val="single"/>
    </w:rPr>
  </w:style>
  <w:style w:type="character" w:customStyle="1" w:styleId="apple-style-span">
    <w:name w:val="apple-style-span"/>
    <w:basedOn w:val="DefaultParagraphFont"/>
    <w:rsid w:val="00C1650D"/>
  </w:style>
  <w:style w:type="character" w:customStyle="1" w:styleId="apple-converted-space">
    <w:name w:val="apple-converted-space"/>
    <w:basedOn w:val="DefaultParagraphFont"/>
    <w:rsid w:val="007409E2"/>
  </w:style>
  <w:style w:type="character" w:styleId="FollowedHyperlink">
    <w:name w:val="FollowedHyperlink"/>
    <w:basedOn w:val="DefaultParagraphFont"/>
    <w:uiPriority w:val="99"/>
    <w:semiHidden/>
    <w:unhideWhenUsed/>
    <w:rsid w:val="008735A2"/>
    <w:rPr>
      <w:color w:val="800080" w:themeColor="followedHyperlink"/>
      <w:u w:val="single"/>
    </w:rPr>
  </w:style>
  <w:style w:type="paragraph" w:styleId="Header">
    <w:name w:val="header"/>
    <w:basedOn w:val="Normal"/>
    <w:link w:val="HeaderChar"/>
    <w:uiPriority w:val="99"/>
    <w:semiHidden/>
    <w:unhideWhenUsed/>
    <w:rsid w:val="006669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692A"/>
    <w:rPr>
      <w:rFonts w:eastAsiaTheme="minorHAnsi"/>
      <w:lang w:val="en-GB" w:eastAsia="en-US"/>
    </w:rPr>
  </w:style>
  <w:style w:type="paragraph" w:styleId="Footer">
    <w:name w:val="footer"/>
    <w:basedOn w:val="Normal"/>
    <w:link w:val="FooterChar"/>
    <w:uiPriority w:val="99"/>
    <w:unhideWhenUsed/>
    <w:rsid w:val="00666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2A"/>
    <w:rPr>
      <w:rFonts w:eastAsiaTheme="minorHAnsi"/>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cottish.parliament.uk/parliamentarybusiness/Bills/25697.aspx" TargetMode="External"/><Relationship Id="rId3" Type="http://schemas.openxmlformats.org/officeDocument/2006/relationships/hyperlink" Target="http://www.legislation.gov.uk" TargetMode="External"/><Relationship Id="rId7" Type="http://schemas.openxmlformats.org/officeDocument/2006/relationships/hyperlink" Target="http://www.cabinetoffice.gov.uk/sites/default/files/resources/Guide-to-Making-Legislation_0.pdf" TargetMode="External"/><Relationship Id="rId2" Type="http://schemas.openxmlformats.org/officeDocument/2006/relationships/hyperlink" Target="http://www.legislation.gov.uk/ukpga/2012/9/pdfs/ukpgaen_20120009_en.pdf" TargetMode="External"/><Relationship Id="rId1" Type="http://schemas.openxmlformats.org/officeDocument/2006/relationships/hyperlink" Target="mailto:b.c.jones@stir.ac.uk" TargetMode="External"/><Relationship Id="rId6" Type="http://schemas.openxmlformats.org/officeDocument/2006/relationships/hyperlink" Target="http://www.cabinetoffice.gov.uk/sites/default/files/resources/Office_of_the_Parliamentary_Counsel_revised_guidance_16_12_11.pdf" TargetMode="External"/><Relationship Id="rId5" Type="http://schemas.openxmlformats.org/officeDocument/2006/relationships/hyperlink" Target="http://www.publications.parliament.uk/pa/ld/ldstords/ldstords.htm" TargetMode="External"/><Relationship Id="rId10" Type="http://schemas.openxmlformats.org/officeDocument/2006/relationships/hyperlink" Target="http://www.pco-bcp.gc.ca/docs/information/publications/legislation/pdf-eng.pdf" TargetMode="External"/><Relationship Id="rId4" Type="http://schemas.openxmlformats.org/officeDocument/2006/relationships/hyperlink" Target="http://www.publications.parliament.uk/pa/cm/cmstords.htm" TargetMode="External"/><Relationship Id="rId9" Type="http://schemas.openxmlformats.org/officeDocument/2006/relationships/hyperlink" Target="http://www.opc.gov.au/about/drafting_series/DD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844CA-16DF-41F2-8D57-6A958973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17</Pages>
  <Words>3751</Words>
  <Characters>21386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14</cp:revision>
  <dcterms:created xsi:type="dcterms:W3CDTF">2012-07-16T07:17:00Z</dcterms:created>
  <dcterms:modified xsi:type="dcterms:W3CDTF">2012-07-17T02:53:00Z</dcterms:modified>
</cp:coreProperties>
</file>