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B5C7" w14:textId="77777777" w:rsidR="00731E9C" w:rsidRDefault="00CD3044">
      <w:pPr>
        <w:pStyle w:val="Heading1"/>
      </w:pPr>
      <w:bookmarkStart w:id="0" w:name="moonlight-homecare"/>
      <w:r>
        <w:t>Moonlight Homecare</w:t>
      </w:r>
    </w:p>
    <w:p w14:paraId="7419675C" w14:textId="77777777" w:rsidR="00731E9C" w:rsidRDefault="00CD3044">
      <w:pPr>
        <w:pStyle w:val="Heading2"/>
      </w:pPr>
      <w:bookmarkStart w:id="1" w:name="grievance-and-disciplinary-procedures"/>
      <w:r>
        <w:t>Grievance and Disciplinary Procedures</w:t>
      </w:r>
    </w:p>
    <w:p w14:paraId="0D9F2CFC" w14:textId="77777777" w:rsidR="00731E9C" w:rsidRDefault="00CD3044">
      <w:pPr>
        <w:pStyle w:val="FirstParagraph"/>
      </w:pPr>
      <w:r>
        <w:rPr>
          <w:b/>
          <w:bCs/>
        </w:rPr>
        <w:t>Policy Status:</w:t>
      </w:r>
      <w:r>
        <w:t xml:space="preserve"> Active</w:t>
      </w:r>
      <w:r>
        <w:br/>
      </w:r>
      <w:r>
        <w:rPr>
          <w:b/>
          <w:bCs/>
        </w:rPr>
        <w:t>Applies to:</w:t>
      </w:r>
      <w:r>
        <w:t xml:space="preserve"> All employees, workers, and managers</w:t>
      </w:r>
      <w:r>
        <w:br/>
      </w:r>
      <w:r>
        <w:rPr>
          <w:b/>
          <w:bCs/>
        </w:rPr>
        <w:t>Approved by:</w:t>
      </w:r>
      <w:r>
        <w:t xml:space="preserve"> Management Team</w:t>
      </w:r>
      <w:r>
        <w:br/>
      </w:r>
      <w:r>
        <w:rPr>
          <w:b/>
          <w:bCs/>
        </w:rPr>
        <w:t>Review Date:</w:t>
      </w:r>
      <w:r>
        <w:t xml:space="preserve"> Annually or as required</w:t>
      </w:r>
    </w:p>
    <w:p w14:paraId="2E8D7D10" w14:textId="77777777" w:rsidR="00731E9C" w:rsidRDefault="00CD3044">
      <w:r>
        <w:pict w14:anchorId="749F19DC">
          <v:rect id="_x0000_i1025" style="width:0;height:1.5pt" o:hralign="center" o:hrstd="t" o:hr="t"/>
        </w:pict>
      </w:r>
    </w:p>
    <w:p w14:paraId="0503AD87" w14:textId="77777777" w:rsidR="00731E9C" w:rsidRDefault="00CD3044">
      <w:pPr>
        <w:pStyle w:val="Heading2"/>
      </w:pPr>
      <w:bookmarkStart w:id="2" w:name="purpose"/>
      <w:bookmarkEnd w:id="1"/>
      <w:r>
        <w:t>1. Purpose</w:t>
      </w:r>
    </w:p>
    <w:p w14:paraId="7924B7EE" w14:textId="77777777" w:rsidR="00731E9C" w:rsidRDefault="00CD3044">
      <w:pPr>
        <w:pStyle w:val="FirstParagraph"/>
      </w:pPr>
      <w:r>
        <w:t>Moonlight Homecare is committed to maintaining a fair, safe, and supportive working environment. These procedures set out how grievances (concerns raised by staff) and disciplinary matters (concerns about conduct or performance) will be handled fairly, con</w:t>
      </w:r>
      <w:r>
        <w:t>sistently, and in line with employment law, ACAS guidance, and CQC expectations.</w:t>
      </w:r>
    </w:p>
    <w:p w14:paraId="10B125E4" w14:textId="77777777" w:rsidR="00731E9C" w:rsidRDefault="00CD3044">
      <w:r>
        <w:pict w14:anchorId="16B00E7A">
          <v:rect id="_x0000_i1026" style="width:0;height:1.5pt" o:hralign="center" o:hrstd="t" o:hr="t"/>
        </w:pict>
      </w:r>
    </w:p>
    <w:p w14:paraId="77075C30" w14:textId="77777777" w:rsidR="00731E9C" w:rsidRDefault="00CD3044">
      <w:pPr>
        <w:pStyle w:val="Heading2"/>
      </w:pPr>
      <w:bookmarkStart w:id="3" w:name="principles"/>
      <w:bookmarkEnd w:id="2"/>
      <w:r>
        <w:t>2. Principles</w:t>
      </w:r>
    </w:p>
    <w:p w14:paraId="70689EC3" w14:textId="77777777" w:rsidR="00731E9C" w:rsidRDefault="00CD3044">
      <w:pPr>
        <w:pStyle w:val="Compact"/>
        <w:numPr>
          <w:ilvl w:val="0"/>
          <w:numId w:val="2"/>
        </w:numPr>
      </w:pPr>
      <w:r>
        <w:t>Fairness, transparency, and consistency</w:t>
      </w:r>
    </w:p>
    <w:p w14:paraId="789F8C75" w14:textId="77777777" w:rsidR="00731E9C" w:rsidRDefault="00CD3044">
      <w:pPr>
        <w:pStyle w:val="Compact"/>
        <w:numPr>
          <w:ilvl w:val="0"/>
          <w:numId w:val="2"/>
        </w:numPr>
      </w:pPr>
      <w:r>
        <w:t>Timely handling of issues</w:t>
      </w:r>
    </w:p>
    <w:p w14:paraId="1BDC5AD1" w14:textId="77777777" w:rsidR="00731E9C" w:rsidRDefault="00CD3044">
      <w:pPr>
        <w:pStyle w:val="Compact"/>
        <w:numPr>
          <w:ilvl w:val="0"/>
          <w:numId w:val="2"/>
        </w:numPr>
      </w:pPr>
      <w:r>
        <w:t>Right to be heard and to be accompanied</w:t>
      </w:r>
    </w:p>
    <w:p w14:paraId="6F94D692" w14:textId="77777777" w:rsidR="00731E9C" w:rsidRDefault="00CD3044">
      <w:pPr>
        <w:pStyle w:val="Compact"/>
        <w:numPr>
          <w:ilvl w:val="0"/>
          <w:numId w:val="2"/>
        </w:numPr>
      </w:pPr>
      <w:r>
        <w:t>Proportionate and reasonable outcomes</w:t>
      </w:r>
    </w:p>
    <w:p w14:paraId="3BF8864A" w14:textId="77777777" w:rsidR="00731E9C" w:rsidRDefault="00CD3044">
      <w:pPr>
        <w:pStyle w:val="Compact"/>
        <w:numPr>
          <w:ilvl w:val="0"/>
          <w:numId w:val="2"/>
        </w:numPr>
      </w:pPr>
      <w:r>
        <w:t>Confidentiality</w:t>
      </w:r>
      <w:r>
        <w:t xml:space="preserve"> at all stages</w:t>
      </w:r>
    </w:p>
    <w:p w14:paraId="4844AA69" w14:textId="77777777" w:rsidR="00731E9C" w:rsidRDefault="00CD3044">
      <w:pPr>
        <w:pStyle w:val="Compact"/>
        <w:numPr>
          <w:ilvl w:val="0"/>
          <w:numId w:val="2"/>
        </w:numPr>
      </w:pPr>
      <w:r>
        <w:t>No detriment for raising a genuine grievance</w:t>
      </w:r>
    </w:p>
    <w:p w14:paraId="0D4A5CB5" w14:textId="77777777" w:rsidR="00731E9C" w:rsidRDefault="00CD3044">
      <w:r>
        <w:pict w14:anchorId="7B28140A">
          <v:rect id="_x0000_i1027" style="width:0;height:1.5pt" o:hralign="center" o:hrstd="t" o:hr="t"/>
        </w:pict>
      </w:r>
    </w:p>
    <w:p w14:paraId="78D34811" w14:textId="77777777" w:rsidR="00731E9C" w:rsidRDefault="00CD3044">
      <w:pPr>
        <w:pStyle w:val="Heading2"/>
      </w:pPr>
      <w:bookmarkStart w:id="4" w:name="scope"/>
      <w:bookmarkEnd w:id="3"/>
      <w:r>
        <w:t>3. Scope</w:t>
      </w:r>
    </w:p>
    <w:p w14:paraId="5C80BCD8" w14:textId="77777777" w:rsidR="00731E9C" w:rsidRDefault="00CD3044">
      <w:pPr>
        <w:pStyle w:val="FirstParagraph"/>
      </w:pPr>
      <w:r>
        <w:t>These procedures apply to all staff employed or engaged by Moonlight Homecare, including care workers, senior carers, coordinators, and managers.</w:t>
      </w:r>
    </w:p>
    <w:p w14:paraId="51D9904C" w14:textId="77777777" w:rsidR="00731E9C" w:rsidRDefault="00CD3044">
      <w:r>
        <w:pict w14:anchorId="4B95CCE7">
          <v:rect id="_x0000_i1028" style="width:0;height:1.5pt" o:hralign="center" o:hrstd="t" o:hr="t"/>
        </w:pict>
      </w:r>
    </w:p>
    <w:p w14:paraId="228187AE" w14:textId="77777777" w:rsidR="00731E9C" w:rsidRDefault="00CD3044">
      <w:pPr>
        <w:pStyle w:val="Heading1"/>
      </w:pPr>
      <w:bookmarkStart w:id="5" w:name="part-a-grievance-procedure"/>
      <w:bookmarkEnd w:id="0"/>
      <w:bookmarkEnd w:id="4"/>
      <w:r>
        <w:t>PART A: GRIEVANCE PROCEDURE</w:t>
      </w:r>
    </w:p>
    <w:p w14:paraId="5E3EF068" w14:textId="77777777" w:rsidR="00731E9C" w:rsidRDefault="00CD3044">
      <w:pPr>
        <w:pStyle w:val="Heading2"/>
      </w:pPr>
      <w:bookmarkStart w:id="6" w:name="what-is-a-grievance"/>
      <w:r>
        <w:t>4. What i</w:t>
      </w:r>
      <w:r>
        <w:t>s a Grievance?</w:t>
      </w:r>
    </w:p>
    <w:p w14:paraId="2F99A996" w14:textId="77777777" w:rsidR="00731E9C" w:rsidRDefault="00CD3044">
      <w:pPr>
        <w:pStyle w:val="FirstParagraph"/>
      </w:pPr>
      <w:r>
        <w:t xml:space="preserve">A grievance is a concern, problem, or complaint raised by an employee about work-related matters, including but not limited to: - Working conditions - Pay or hours - Health and safety - </w:t>
      </w:r>
      <w:r>
        <w:lastRenderedPageBreak/>
        <w:t>Bullying, harassment, or discrimination - Management de</w:t>
      </w:r>
      <w:r>
        <w:t>cisions - Treatment by colleagues or managers</w:t>
      </w:r>
    </w:p>
    <w:p w14:paraId="350BB73C" w14:textId="77777777" w:rsidR="00731E9C" w:rsidRDefault="00CD3044">
      <w:r>
        <w:pict w14:anchorId="4CE28AC4">
          <v:rect id="_x0000_i1029" style="width:0;height:1.5pt" o:hralign="center" o:hrstd="t" o:hr="t"/>
        </w:pict>
      </w:r>
    </w:p>
    <w:p w14:paraId="1D81472D" w14:textId="77777777" w:rsidR="00731E9C" w:rsidRDefault="00CD3044">
      <w:pPr>
        <w:pStyle w:val="Heading2"/>
      </w:pPr>
      <w:bookmarkStart w:id="7" w:name="informal-resolution"/>
      <w:bookmarkEnd w:id="6"/>
      <w:r>
        <w:t>5. Informal Resolution</w:t>
      </w:r>
    </w:p>
    <w:p w14:paraId="03943CAD" w14:textId="77777777" w:rsidR="00731E9C" w:rsidRDefault="00CD3044">
      <w:pPr>
        <w:pStyle w:val="FirstParagraph"/>
      </w:pPr>
      <w:r>
        <w:t xml:space="preserve">Moonlight Homecare encourages informal resolution wherever possible. - The employee should raise the issue with their line manager as soon as possible. - The manager will meet with the </w:t>
      </w:r>
      <w:r>
        <w:t>employee to listen, clarify concerns, and seek a resolution. - Outcomes should be agreed and noted.</w:t>
      </w:r>
    </w:p>
    <w:p w14:paraId="68E87C95" w14:textId="77777777" w:rsidR="00731E9C" w:rsidRDefault="00CD3044">
      <w:pPr>
        <w:pStyle w:val="BodyText"/>
      </w:pPr>
      <w:r>
        <w:t>If the matter is resolved informally, no further action is required.</w:t>
      </w:r>
    </w:p>
    <w:p w14:paraId="3A0041C3" w14:textId="77777777" w:rsidR="00731E9C" w:rsidRDefault="00CD3044">
      <w:r>
        <w:pict w14:anchorId="29F25AAB">
          <v:rect id="_x0000_i1030" style="width:0;height:1.5pt" o:hralign="center" o:hrstd="t" o:hr="t"/>
        </w:pict>
      </w:r>
    </w:p>
    <w:p w14:paraId="36E7A351" w14:textId="77777777" w:rsidR="00731E9C" w:rsidRDefault="00CD3044">
      <w:pPr>
        <w:pStyle w:val="Heading2"/>
      </w:pPr>
      <w:bookmarkStart w:id="8" w:name="formal-grievance-procedure"/>
      <w:bookmarkEnd w:id="7"/>
      <w:r>
        <w:t>6. Formal Grievance Procedure</w:t>
      </w:r>
    </w:p>
    <w:p w14:paraId="6F712D38" w14:textId="77777777" w:rsidR="00731E9C" w:rsidRDefault="00CD3044">
      <w:pPr>
        <w:pStyle w:val="FirstParagraph"/>
      </w:pPr>
      <w:r>
        <w:t>If the grievance cannot be resolved informally, the emp</w:t>
      </w:r>
      <w:r>
        <w:t>loyee may submit a formal grievance.</w:t>
      </w:r>
    </w:p>
    <w:p w14:paraId="63E0B288" w14:textId="77777777" w:rsidR="00731E9C" w:rsidRDefault="00CD3044">
      <w:pPr>
        <w:pStyle w:val="Heading3"/>
      </w:pPr>
      <w:bookmarkStart w:id="9" w:name="submitting-a-grievance"/>
      <w:r>
        <w:t>6.1 Submitting a Grievance</w:t>
      </w:r>
    </w:p>
    <w:p w14:paraId="3E2DE88B" w14:textId="77777777" w:rsidR="00731E9C" w:rsidRDefault="00CD3044">
      <w:pPr>
        <w:pStyle w:val="Compact"/>
        <w:numPr>
          <w:ilvl w:val="0"/>
          <w:numId w:val="3"/>
        </w:numPr>
      </w:pPr>
      <w:r>
        <w:t>The grievance must be submitted in writing to the Registered Manager or nominated senior manager.</w:t>
      </w:r>
    </w:p>
    <w:p w14:paraId="023EEDDF" w14:textId="77777777" w:rsidR="00731E9C" w:rsidRDefault="00CD3044">
      <w:pPr>
        <w:pStyle w:val="Compact"/>
        <w:numPr>
          <w:ilvl w:val="0"/>
          <w:numId w:val="3"/>
        </w:numPr>
      </w:pPr>
      <w:r>
        <w:t>It should clearly state the nature of the grievance and desired outcome.</w:t>
      </w:r>
    </w:p>
    <w:p w14:paraId="43384187" w14:textId="77777777" w:rsidR="00731E9C" w:rsidRDefault="00CD3044">
      <w:pPr>
        <w:pStyle w:val="Heading3"/>
      </w:pPr>
      <w:bookmarkStart w:id="10" w:name="grievance-meeting"/>
      <w:bookmarkEnd w:id="9"/>
      <w:r>
        <w:t>6.2 Grievance Meeting</w:t>
      </w:r>
    </w:p>
    <w:p w14:paraId="6036B6C1" w14:textId="77777777" w:rsidR="00731E9C" w:rsidRDefault="00CD3044">
      <w:pPr>
        <w:pStyle w:val="Compact"/>
        <w:numPr>
          <w:ilvl w:val="0"/>
          <w:numId w:val="4"/>
        </w:numPr>
      </w:pPr>
      <w:r>
        <w:t>A meeting will be arranged without unreasonable delay.</w:t>
      </w:r>
    </w:p>
    <w:p w14:paraId="2E0DEB5F" w14:textId="77777777" w:rsidR="00731E9C" w:rsidRDefault="00CD3044">
      <w:pPr>
        <w:pStyle w:val="Compact"/>
        <w:numPr>
          <w:ilvl w:val="0"/>
          <w:numId w:val="4"/>
        </w:numPr>
      </w:pPr>
      <w:r>
        <w:t>The empl</w:t>
      </w:r>
      <w:r>
        <w:t>oyee has the right to be accompanied by a colleague or trade union representative.</w:t>
      </w:r>
    </w:p>
    <w:p w14:paraId="670B6C82" w14:textId="77777777" w:rsidR="00731E9C" w:rsidRDefault="00CD3044">
      <w:pPr>
        <w:pStyle w:val="Compact"/>
        <w:numPr>
          <w:ilvl w:val="0"/>
          <w:numId w:val="4"/>
        </w:numPr>
      </w:pPr>
      <w:r>
        <w:t>The manager will investigate as required, including speaking to relevant parties.</w:t>
      </w:r>
    </w:p>
    <w:p w14:paraId="3C4E9EA1" w14:textId="77777777" w:rsidR="00731E9C" w:rsidRDefault="00CD3044">
      <w:pPr>
        <w:pStyle w:val="Heading3"/>
      </w:pPr>
      <w:bookmarkStart w:id="11" w:name="outcome"/>
      <w:bookmarkEnd w:id="10"/>
      <w:r>
        <w:t>6.3 Outcome</w:t>
      </w:r>
    </w:p>
    <w:p w14:paraId="2F285371" w14:textId="77777777" w:rsidR="00731E9C" w:rsidRDefault="00CD3044">
      <w:pPr>
        <w:pStyle w:val="Compact"/>
        <w:numPr>
          <w:ilvl w:val="0"/>
          <w:numId w:val="5"/>
        </w:numPr>
      </w:pPr>
      <w:r>
        <w:t>The decision will be confirmed in writing, including reasons and any actions to</w:t>
      </w:r>
      <w:r>
        <w:t xml:space="preserve"> be taken.</w:t>
      </w:r>
    </w:p>
    <w:p w14:paraId="3915DE6F" w14:textId="77777777" w:rsidR="00731E9C" w:rsidRDefault="00CD3044">
      <w:pPr>
        <w:pStyle w:val="Heading3"/>
      </w:pPr>
      <w:bookmarkStart w:id="12" w:name="appeal"/>
      <w:bookmarkEnd w:id="11"/>
      <w:r>
        <w:t>6.4 Appeal</w:t>
      </w:r>
    </w:p>
    <w:p w14:paraId="17030DA3" w14:textId="77777777" w:rsidR="00731E9C" w:rsidRDefault="00CD3044">
      <w:pPr>
        <w:pStyle w:val="Compact"/>
        <w:numPr>
          <w:ilvl w:val="0"/>
          <w:numId w:val="6"/>
        </w:numPr>
      </w:pPr>
      <w:r>
        <w:t xml:space="preserve">If dissatisfied, the employee may appeal in writing within </w:t>
      </w:r>
      <w:r>
        <w:rPr>
          <w:b/>
          <w:bCs/>
        </w:rPr>
        <w:t>5 working days</w:t>
      </w:r>
      <w:r>
        <w:t xml:space="preserve"> of receiving the outcome.</w:t>
      </w:r>
    </w:p>
    <w:p w14:paraId="6B2EDA5D" w14:textId="77777777" w:rsidR="00731E9C" w:rsidRDefault="00CD3044">
      <w:pPr>
        <w:pStyle w:val="Compact"/>
        <w:numPr>
          <w:ilvl w:val="0"/>
          <w:numId w:val="6"/>
        </w:numPr>
      </w:pPr>
      <w:r>
        <w:t>The appeal will be heard by a different manager where possible.</w:t>
      </w:r>
    </w:p>
    <w:p w14:paraId="7F7C0BCE" w14:textId="77777777" w:rsidR="00731E9C" w:rsidRDefault="00CD3044">
      <w:pPr>
        <w:pStyle w:val="Compact"/>
        <w:numPr>
          <w:ilvl w:val="0"/>
          <w:numId w:val="6"/>
        </w:numPr>
      </w:pPr>
      <w:r>
        <w:t>The appeal decision is final.</w:t>
      </w:r>
    </w:p>
    <w:p w14:paraId="54DDDEF0" w14:textId="77777777" w:rsidR="00731E9C" w:rsidRDefault="00CD3044">
      <w:r>
        <w:pict w14:anchorId="518D2750">
          <v:rect id="_x0000_i1031" style="width:0;height:1.5pt" o:hralign="center" o:hrstd="t" o:hr="t"/>
        </w:pict>
      </w:r>
    </w:p>
    <w:p w14:paraId="5EBE75D3" w14:textId="77777777" w:rsidR="00731E9C" w:rsidRDefault="00CD3044">
      <w:pPr>
        <w:pStyle w:val="Heading1"/>
      </w:pPr>
      <w:bookmarkStart w:id="13" w:name="part-b-disciplinary-procedure"/>
      <w:bookmarkEnd w:id="5"/>
      <w:bookmarkEnd w:id="8"/>
      <w:bookmarkEnd w:id="12"/>
      <w:r>
        <w:lastRenderedPageBreak/>
        <w:t>PART B: DISCIPLINARY PROCEDURE</w:t>
      </w:r>
    </w:p>
    <w:p w14:paraId="4BBB1B49" w14:textId="77777777" w:rsidR="00731E9C" w:rsidRDefault="00CD3044">
      <w:pPr>
        <w:pStyle w:val="Heading2"/>
      </w:pPr>
      <w:bookmarkStart w:id="14" w:name="purpose-of-disciplinary-procedure"/>
      <w:r>
        <w:t>7. Purpose of Disciplinary Procedure</w:t>
      </w:r>
    </w:p>
    <w:p w14:paraId="64128E1E" w14:textId="77777777" w:rsidR="00731E9C" w:rsidRDefault="00CD3044">
      <w:pPr>
        <w:pStyle w:val="FirstParagraph"/>
      </w:pPr>
      <w:r>
        <w:t>The disciplinary procedure aims to: - Encourage improvement in conduct or performance - Ensure safe and effective care delivery - Protect service users, staff, and the organisation</w:t>
      </w:r>
    </w:p>
    <w:p w14:paraId="36E3037E" w14:textId="77777777" w:rsidR="00731E9C" w:rsidRDefault="00CD3044">
      <w:r>
        <w:pict w14:anchorId="2F2A160F">
          <v:rect id="_x0000_i1032" style="width:0;height:1.5pt" o:hralign="center" o:hrstd="t" o:hr="t"/>
        </w:pict>
      </w:r>
    </w:p>
    <w:p w14:paraId="3E09D682" w14:textId="77777777" w:rsidR="00731E9C" w:rsidRDefault="00CD3044">
      <w:pPr>
        <w:pStyle w:val="Heading2"/>
      </w:pPr>
      <w:bookmarkStart w:id="15" w:name="informal-action"/>
      <w:bookmarkEnd w:id="14"/>
      <w:r>
        <w:t>8. Informal Action</w:t>
      </w:r>
    </w:p>
    <w:p w14:paraId="1A771BFC" w14:textId="77777777" w:rsidR="00731E9C" w:rsidRDefault="00CD3044">
      <w:pPr>
        <w:pStyle w:val="FirstParagraph"/>
      </w:pPr>
      <w:r>
        <w:t xml:space="preserve">Minor issues may </w:t>
      </w:r>
      <w:r>
        <w:t>be addressed informally through supervision, coaching, or additional training.</w:t>
      </w:r>
    </w:p>
    <w:p w14:paraId="66795575" w14:textId="77777777" w:rsidR="00731E9C" w:rsidRDefault="00CD3044">
      <w:r>
        <w:pict w14:anchorId="7C9D09CC">
          <v:rect id="_x0000_i1033" style="width:0;height:1.5pt" o:hralign="center" o:hrstd="t" o:hr="t"/>
        </w:pict>
      </w:r>
    </w:p>
    <w:p w14:paraId="57D04B36" w14:textId="77777777" w:rsidR="00731E9C" w:rsidRDefault="00CD3044">
      <w:pPr>
        <w:pStyle w:val="Heading2"/>
      </w:pPr>
      <w:bookmarkStart w:id="16" w:name="formal-disciplinary-procedure"/>
      <w:bookmarkEnd w:id="15"/>
      <w:r>
        <w:t>9. Formal Disciplinary Procedure</w:t>
      </w:r>
    </w:p>
    <w:p w14:paraId="6CE22B0F" w14:textId="77777777" w:rsidR="00731E9C" w:rsidRDefault="00CD3044">
      <w:pPr>
        <w:pStyle w:val="Heading3"/>
      </w:pPr>
      <w:bookmarkStart w:id="17" w:name="investigation"/>
      <w:r>
        <w:t>9.1 Investigation</w:t>
      </w:r>
    </w:p>
    <w:p w14:paraId="3B9AD37D" w14:textId="77777777" w:rsidR="00731E9C" w:rsidRDefault="00CD3044">
      <w:pPr>
        <w:pStyle w:val="Compact"/>
        <w:numPr>
          <w:ilvl w:val="0"/>
          <w:numId w:val="7"/>
        </w:numPr>
      </w:pPr>
      <w:r>
        <w:t>No disciplinary action will be taken without a fair investigation.</w:t>
      </w:r>
    </w:p>
    <w:p w14:paraId="3DB031C2" w14:textId="77777777" w:rsidR="00731E9C" w:rsidRDefault="00CD3044">
      <w:pPr>
        <w:pStyle w:val="Compact"/>
        <w:numPr>
          <w:ilvl w:val="0"/>
          <w:numId w:val="7"/>
        </w:numPr>
      </w:pPr>
      <w:r>
        <w:t>The employee may be suspended on full pay where necessary</w:t>
      </w:r>
      <w:r>
        <w:t xml:space="preserve"> (this is not a disciplinary penalty).</w:t>
      </w:r>
    </w:p>
    <w:p w14:paraId="2B71C707" w14:textId="77777777" w:rsidR="00731E9C" w:rsidRDefault="00CD3044">
      <w:pPr>
        <w:pStyle w:val="Heading3"/>
      </w:pPr>
      <w:bookmarkStart w:id="18" w:name="disciplinary-hearing"/>
      <w:bookmarkEnd w:id="17"/>
      <w:r>
        <w:t>9.2 Disciplinary Hearing</w:t>
      </w:r>
    </w:p>
    <w:p w14:paraId="46ED326E" w14:textId="77777777" w:rsidR="00731E9C" w:rsidRDefault="00CD3044">
      <w:pPr>
        <w:pStyle w:val="Compact"/>
        <w:numPr>
          <w:ilvl w:val="0"/>
          <w:numId w:val="8"/>
        </w:numPr>
      </w:pPr>
      <w:r>
        <w:t>The employee will receive written notice of the hearing, allegations, and evidence.</w:t>
      </w:r>
    </w:p>
    <w:p w14:paraId="14B48C77" w14:textId="77777777" w:rsidR="00731E9C" w:rsidRDefault="00CD3044">
      <w:pPr>
        <w:pStyle w:val="Compact"/>
        <w:numPr>
          <w:ilvl w:val="0"/>
          <w:numId w:val="8"/>
        </w:numPr>
      </w:pPr>
      <w:r>
        <w:t>The employee has the right to be accompanied.</w:t>
      </w:r>
    </w:p>
    <w:p w14:paraId="6D7D7749" w14:textId="77777777" w:rsidR="00731E9C" w:rsidRDefault="00CD3044">
      <w:pPr>
        <w:pStyle w:val="Compact"/>
        <w:numPr>
          <w:ilvl w:val="0"/>
          <w:numId w:val="8"/>
        </w:numPr>
      </w:pPr>
      <w:r>
        <w:t>The hearing will be chaired by a manager not involved in the investigation where possible.</w:t>
      </w:r>
    </w:p>
    <w:p w14:paraId="0156255B" w14:textId="77777777" w:rsidR="00731E9C" w:rsidRDefault="00CD3044">
      <w:pPr>
        <w:pStyle w:val="Heading3"/>
      </w:pPr>
      <w:bookmarkStart w:id="19" w:name="possible-outcomes"/>
      <w:bookmarkEnd w:id="18"/>
      <w:r>
        <w:t>9.3 Possible Outcomes</w:t>
      </w:r>
    </w:p>
    <w:p w14:paraId="60E3D505" w14:textId="77777777" w:rsidR="00731E9C" w:rsidRDefault="00CD3044">
      <w:pPr>
        <w:pStyle w:val="FirstParagraph"/>
      </w:pPr>
      <w:r>
        <w:t>Depending on the severity of the issue: - No action - First written warning (normally valid for 6 months) - Final written warning (normally val</w:t>
      </w:r>
      <w:r>
        <w:t>id for 12 months) - Dismissal (with or without notice) - Other sanctions (e.g. training, supervision, redeployment)</w:t>
      </w:r>
    </w:p>
    <w:p w14:paraId="1F700D2B" w14:textId="77777777" w:rsidR="00731E9C" w:rsidRDefault="00CD3044">
      <w:r>
        <w:pict w14:anchorId="2F8DDAD6">
          <v:rect id="_x0000_i1034" style="width:0;height:1.5pt" o:hralign="center" o:hrstd="t" o:hr="t"/>
        </w:pict>
      </w:r>
    </w:p>
    <w:p w14:paraId="28B5DC3A" w14:textId="77777777" w:rsidR="00731E9C" w:rsidRDefault="00CD3044">
      <w:pPr>
        <w:pStyle w:val="Heading2"/>
      </w:pPr>
      <w:bookmarkStart w:id="20" w:name="gross-misconduct"/>
      <w:bookmarkEnd w:id="16"/>
      <w:bookmarkEnd w:id="19"/>
      <w:r>
        <w:t>10. Gross Misconduct</w:t>
      </w:r>
    </w:p>
    <w:p w14:paraId="63CE59FC" w14:textId="77777777" w:rsidR="00731E9C" w:rsidRDefault="00CD3044">
      <w:pPr>
        <w:pStyle w:val="FirstParagraph"/>
      </w:pPr>
      <w:r>
        <w:t>Gross misconduct may result in summary dismissal and includes, but is not limited to: - Abuse or neglect of a service</w:t>
      </w:r>
      <w:r>
        <w:t xml:space="preserve"> user - Serious breaches of safeguarding - Theft or fraud - Falsification of records (including MAR charts) - Serious breaches of health and safety - Violence, harassment, or discrimination - Being under the influence of drugs or alcohol at work</w:t>
      </w:r>
    </w:p>
    <w:p w14:paraId="7E5F0C3C" w14:textId="77777777" w:rsidR="00731E9C" w:rsidRDefault="00CD3044">
      <w:r>
        <w:pict w14:anchorId="701103CE">
          <v:rect id="_x0000_i1035" style="width:0;height:1.5pt" o:hralign="center" o:hrstd="t" o:hr="t"/>
        </w:pict>
      </w:r>
    </w:p>
    <w:p w14:paraId="1F654506" w14:textId="77777777" w:rsidR="00731E9C" w:rsidRDefault="00CD3044">
      <w:pPr>
        <w:pStyle w:val="Heading2"/>
      </w:pPr>
      <w:bookmarkStart w:id="21" w:name="disciplinary-appeal"/>
      <w:bookmarkEnd w:id="20"/>
      <w:r>
        <w:lastRenderedPageBreak/>
        <w:t>11. Disc</w:t>
      </w:r>
      <w:r>
        <w:t>iplinary Appeal</w:t>
      </w:r>
    </w:p>
    <w:p w14:paraId="0B15A7F6" w14:textId="77777777" w:rsidR="00731E9C" w:rsidRDefault="00CD3044">
      <w:pPr>
        <w:pStyle w:val="Compact"/>
        <w:numPr>
          <w:ilvl w:val="0"/>
          <w:numId w:val="9"/>
        </w:numPr>
      </w:pPr>
      <w:r>
        <w:t xml:space="preserve">Employees may appeal a disciplinary decision within </w:t>
      </w:r>
      <w:r>
        <w:rPr>
          <w:b/>
          <w:bCs/>
        </w:rPr>
        <w:t>5 working days</w:t>
      </w:r>
      <w:r>
        <w:t xml:space="preserve"> of the outcome.</w:t>
      </w:r>
    </w:p>
    <w:p w14:paraId="58D9455C" w14:textId="77777777" w:rsidR="00731E9C" w:rsidRDefault="00CD3044">
      <w:pPr>
        <w:pStyle w:val="Compact"/>
        <w:numPr>
          <w:ilvl w:val="0"/>
          <w:numId w:val="9"/>
        </w:numPr>
      </w:pPr>
      <w:r>
        <w:t>Appeals will be heard by a different manager where possible.</w:t>
      </w:r>
    </w:p>
    <w:p w14:paraId="2246AEB8" w14:textId="77777777" w:rsidR="00731E9C" w:rsidRDefault="00CD3044">
      <w:pPr>
        <w:pStyle w:val="Compact"/>
        <w:numPr>
          <w:ilvl w:val="0"/>
          <w:numId w:val="9"/>
        </w:numPr>
      </w:pPr>
      <w:r>
        <w:t>The appeal decision is final.</w:t>
      </w:r>
    </w:p>
    <w:p w14:paraId="0CA98996" w14:textId="77777777" w:rsidR="00731E9C" w:rsidRDefault="00CD3044">
      <w:r>
        <w:pict w14:anchorId="57CBDB4A">
          <v:rect id="_x0000_i1036" style="width:0;height:1.5pt" o:hralign="center" o:hrstd="t" o:hr="t"/>
        </w:pict>
      </w:r>
    </w:p>
    <w:p w14:paraId="5F0FF092" w14:textId="77777777" w:rsidR="00731E9C" w:rsidRDefault="00CD3044">
      <w:pPr>
        <w:pStyle w:val="Heading2"/>
      </w:pPr>
      <w:bookmarkStart w:id="22" w:name="confidentiality"/>
      <w:bookmarkEnd w:id="21"/>
      <w:r>
        <w:t>12. Confidentiality</w:t>
      </w:r>
    </w:p>
    <w:p w14:paraId="018CE9E8" w14:textId="77777777" w:rsidR="00731E9C" w:rsidRDefault="00CD3044">
      <w:pPr>
        <w:pStyle w:val="FirstParagraph"/>
      </w:pPr>
      <w:r>
        <w:t xml:space="preserve">All grievance and disciplinary matters will </w:t>
      </w:r>
      <w:r>
        <w:t>be handled confidentially. Information will only be shared on a need-to-know basis.</w:t>
      </w:r>
    </w:p>
    <w:p w14:paraId="15F62D18" w14:textId="77777777" w:rsidR="00731E9C" w:rsidRDefault="00CD3044">
      <w:r>
        <w:pict w14:anchorId="42A87DA0">
          <v:rect id="_x0000_i1037" style="width:0;height:1.5pt" o:hralign="center" o:hrstd="t" o:hr="t"/>
        </w:pict>
      </w:r>
    </w:p>
    <w:p w14:paraId="202CB3F5" w14:textId="77777777" w:rsidR="00731E9C" w:rsidRDefault="00CD3044">
      <w:pPr>
        <w:pStyle w:val="Heading2"/>
      </w:pPr>
      <w:bookmarkStart w:id="23" w:name="equality-and-fair-treatment"/>
      <w:bookmarkEnd w:id="22"/>
      <w:r>
        <w:t>13. Equality and Fair Treatment</w:t>
      </w:r>
    </w:p>
    <w:p w14:paraId="6E0092DC" w14:textId="77777777" w:rsidR="00731E9C" w:rsidRDefault="00CD3044">
      <w:pPr>
        <w:pStyle w:val="FirstParagraph"/>
      </w:pPr>
      <w:r>
        <w:t>Moonlight Homecare is committed to equality, diversity, and inclusion. No employee will be treated unfairly due to age, disability, gender</w:t>
      </w:r>
      <w:r>
        <w:t xml:space="preserve"> reassignment, marriage or civil partnership, pregnancy or maternity, race, religion or belief, sex, or sexual orientation.</w:t>
      </w:r>
    </w:p>
    <w:p w14:paraId="270EE3BE" w14:textId="77777777" w:rsidR="00731E9C" w:rsidRDefault="00CD3044">
      <w:r>
        <w:pict w14:anchorId="54E83180">
          <v:rect id="_x0000_i1038" style="width:0;height:1.5pt" o:hralign="center" o:hrstd="t" o:hr="t"/>
        </w:pict>
      </w:r>
    </w:p>
    <w:p w14:paraId="0143BBC8" w14:textId="77777777" w:rsidR="00731E9C" w:rsidRDefault="00CD3044">
      <w:pPr>
        <w:pStyle w:val="Heading2"/>
      </w:pPr>
      <w:bookmarkStart w:id="24" w:name="monitoring-and-review"/>
      <w:bookmarkEnd w:id="23"/>
      <w:r>
        <w:t>14. Monitoring and Review</w:t>
      </w:r>
    </w:p>
    <w:p w14:paraId="1E878D46" w14:textId="77777777" w:rsidR="00731E9C" w:rsidRDefault="00CD3044">
      <w:pPr>
        <w:pStyle w:val="FirstParagraph"/>
      </w:pPr>
      <w:r>
        <w:t>These procedures will be reviewed annually and updated in line with changes in legislation, ACAS guidanc</w:t>
      </w:r>
      <w:r>
        <w:t>e, and CQC requirements.</w:t>
      </w:r>
    </w:p>
    <w:p w14:paraId="514370F3" w14:textId="77777777" w:rsidR="00731E9C" w:rsidRDefault="00CD3044">
      <w:r>
        <w:pict w14:anchorId="6ABFD530">
          <v:rect id="_x0000_i1039" style="width:0;height:1.5pt" o:hralign="center" o:hrstd="t" o:hr="t"/>
        </w:pict>
      </w:r>
    </w:p>
    <w:p w14:paraId="2350FA4D" w14:textId="063C7DFC" w:rsidR="00731E9C" w:rsidRDefault="00CD3044">
      <w:pPr>
        <w:pStyle w:val="FirstParagraph"/>
      </w:pPr>
      <w:r>
        <w:rPr>
          <w:b/>
          <w:bCs/>
        </w:rPr>
        <w:t>Signed:</w:t>
      </w:r>
      <w:r>
        <w:t xml:space="preserve">  Nassir Hassan</w:t>
      </w:r>
      <w:r>
        <w:br/>
      </w:r>
      <w:r>
        <w:rPr>
          <w:b/>
          <w:bCs/>
        </w:rPr>
        <w:t>Name:</w:t>
      </w:r>
      <w:r>
        <w:t xml:space="preserve"> Nassir Hassan</w:t>
      </w:r>
      <w:r>
        <w:br/>
      </w:r>
      <w:r>
        <w:rPr>
          <w:b/>
          <w:bCs/>
        </w:rPr>
        <w:t>Position:</w:t>
      </w:r>
      <w:r>
        <w:t xml:space="preserve"> Registered Manager</w:t>
      </w:r>
      <w:r>
        <w:br/>
      </w:r>
      <w:r>
        <w:rPr>
          <w:b/>
          <w:bCs/>
        </w:rPr>
        <w:t>Date:</w:t>
      </w:r>
      <w:r>
        <w:t xml:space="preserve"> Dec 2025</w:t>
      </w:r>
      <w:bookmarkEnd w:id="13"/>
      <w:bookmarkEnd w:id="24"/>
    </w:p>
    <w:sectPr w:rsidR="00731E9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18BEB40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7C2375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9C"/>
    <w:rsid w:val="00731E9C"/>
    <w:rsid w:val="00CD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7567"/>
  <w15:docId w15:val="{DFC8B7A0-C0EC-4C07-BDB4-60BF141D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Nassir Hassan</dc:creator>
  <cp:keywords/>
  <cp:lastModifiedBy>Nassir Hassan</cp:lastModifiedBy>
  <cp:revision>2</cp:revision>
  <dcterms:created xsi:type="dcterms:W3CDTF">2026-01-17T13:32:00Z</dcterms:created>
  <dcterms:modified xsi:type="dcterms:W3CDTF">2026-01-17T13:32:00Z</dcterms:modified>
</cp:coreProperties>
</file>