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FE7F9" w14:textId="77777777" w:rsidR="00CA2FD6" w:rsidRDefault="00CA2FD6" w:rsidP="00CA2FD6">
      <w:pPr>
        <w:pStyle w:val="Heading1"/>
      </w:pPr>
      <w:bookmarkStart w:id="0" w:name="_Toc409431230"/>
      <w:bookmarkStart w:id="1" w:name="_Toc409520938"/>
      <w:r>
        <w:t>DUTY OF CANDOUR</w:t>
      </w:r>
      <w:bookmarkEnd w:id="0"/>
      <w:bookmarkEnd w:id="1"/>
      <w:r w:rsidR="00B85C45">
        <w:t xml:space="preserve"> Policy</w:t>
      </w:r>
    </w:p>
    <w:p w14:paraId="5D53234E" w14:textId="77777777" w:rsidR="00CA2FD6" w:rsidRDefault="00CA2FD6" w:rsidP="00CA2FD6">
      <w:r>
        <w:t xml:space="preserve">Name: </w:t>
      </w:r>
      <w:r w:rsidR="00B85C45">
        <w:t>Moonlight homecare</w:t>
      </w:r>
      <w:r>
        <w:t>.</w:t>
      </w:r>
    </w:p>
    <w:p w14:paraId="597E5E19" w14:textId="77777777" w:rsidR="00CA2FD6" w:rsidRPr="00987806" w:rsidRDefault="00CA2FD6" w:rsidP="00CA2FD6">
      <w:pPr>
        <w:rPr>
          <w:b/>
        </w:rPr>
      </w:pPr>
      <w:bookmarkStart w:id="2" w:name="_Toc409431231"/>
      <w:r w:rsidRPr="00096CD0">
        <w:rPr>
          <w:b/>
        </w:rPr>
        <w:t>Policy statement</w:t>
      </w:r>
      <w:bookmarkEnd w:id="2"/>
    </w:p>
    <w:p w14:paraId="5FECBB19" w14:textId="77777777" w:rsidR="00CA2FD6" w:rsidRDefault="00CA2FD6" w:rsidP="00CA2FD6">
      <w:pPr>
        <w:rPr>
          <w:lang w:eastAsia="en-US"/>
        </w:rPr>
      </w:pPr>
      <w:r>
        <w:rPr>
          <w:lang w:eastAsia="en-US"/>
        </w:rPr>
        <w:t>This is a new req</w:t>
      </w:r>
      <w:r w:rsidR="00B94D3D">
        <w:rPr>
          <w:lang w:eastAsia="en-US"/>
        </w:rPr>
        <w:t>uirement under the Fundamental Standards R</w:t>
      </w:r>
      <w:r>
        <w:rPr>
          <w:lang w:eastAsia="en-US"/>
        </w:rPr>
        <w:t>egulation 20 of the Health and Social Care Act 2008 (Regulated Activities) Regulations 2014. Put simply, candour means the quality of being open and honest. Candour can only work when it is part of a wider commitment to safety, listening and learning, with an organisation</w:t>
      </w:r>
      <w:r w:rsidR="00B94D3D">
        <w:rPr>
          <w:lang w:eastAsia="en-US"/>
        </w:rPr>
        <w:t>al commitment to continual</w:t>
      </w:r>
      <w:r>
        <w:rPr>
          <w:lang w:eastAsia="en-US"/>
        </w:rPr>
        <w:t xml:space="preserve"> improvement. Care and treatment is not risk f</w:t>
      </w:r>
      <w:r w:rsidR="00B94D3D">
        <w:rPr>
          <w:lang w:eastAsia="en-US"/>
        </w:rPr>
        <w:t>ree and evidence heard at the Da</w:t>
      </w:r>
      <w:r>
        <w:rPr>
          <w:lang w:eastAsia="en-US"/>
        </w:rPr>
        <w:t>lton review confirmed what was already known.</w:t>
      </w:r>
    </w:p>
    <w:p w14:paraId="17D29C01" w14:textId="77777777" w:rsidR="00CA2FD6" w:rsidRDefault="00CA2FD6" w:rsidP="00CA2FD6">
      <w:pPr>
        <w:rPr>
          <w:lang w:eastAsia="en-US"/>
        </w:rPr>
      </w:pPr>
      <w:r>
        <w:rPr>
          <w:lang w:eastAsia="en-US"/>
        </w:rPr>
        <w:t>When things go wrong in health or care settings, families want to know three things,</w:t>
      </w:r>
    </w:p>
    <w:p w14:paraId="05B797C0" w14:textId="77777777" w:rsidR="00CA2FD6" w:rsidRDefault="00CA2FD6" w:rsidP="00EE3D72">
      <w:pPr>
        <w:pStyle w:val="ListParagraph"/>
        <w:numPr>
          <w:ilvl w:val="0"/>
          <w:numId w:val="1"/>
        </w:numPr>
      </w:pPr>
      <w:r>
        <w:t>To be told honestly what happened</w:t>
      </w:r>
    </w:p>
    <w:p w14:paraId="6F455BDE" w14:textId="77777777" w:rsidR="00CA2FD6" w:rsidRDefault="00B94D3D" w:rsidP="00EE3D72">
      <w:pPr>
        <w:pStyle w:val="ListParagraph"/>
        <w:numPr>
          <w:ilvl w:val="0"/>
          <w:numId w:val="1"/>
        </w:numPr>
      </w:pPr>
      <w:r>
        <w:t>What can be d</w:t>
      </w:r>
      <w:r w:rsidR="00CA2FD6">
        <w:t>one to deal with any harm caused</w:t>
      </w:r>
    </w:p>
    <w:p w14:paraId="52E2398D" w14:textId="77777777" w:rsidR="00CA2FD6" w:rsidRDefault="00CA2FD6" w:rsidP="00EE3D72">
      <w:pPr>
        <w:pStyle w:val="ListParagraph"/>
        <w:numPr>
          <w:ilvl w:val="0"/>
          <w:numId w:val="1"/>
        </w:numPr>
      </w:pPr>
      <w:r>
        <w:t>To know what will be done to prevent a recurrence to someone else.</w:t>
      </w:r>
    </w:p>
    <w:p w14:paraId="4BC6B143" w14:textId="77777777" w:rsidR="00CA2FD6" w:rsidRDefault="00CA2FD6" w:rsidP="00CA2FD6">
      <w:r>
        <w:t>The Duty of Candour applies to all Health and Social Care providers registered with the Care Quality Commission.</w:t>
      </w:r>
    </w:p>
    <w:p w14:paraId="208B256B" w14:textId="77777777" w:rsidR="00CA2FD6" w:rsidRDefault="00CA2FD6" w:rsidP="00CA2FD6">
      <w:r>
        <w:t>The Duty applies to all cases of “significant harm” This new composite classification would cover the requirements of the reporti</w:t>
      </w:r>
      <w:r w:rsidR="00B94D3D">
        <w:t>ng duty for NHS and Social Care</w:t>
      </w:r>
      <w:r>
        <w:t xml:space="preserve"> </w:t>
      </w:r>
      <w:r w:rsidR="00B94D3D">
        <w:t>P</w:t>
      </w:r>
      <w:r>
        <w:t>roviders currently in place with the Care Quality Commission</w:t>
      </w:r>
      <w:r w:rsidR="00B94D3D">
        <w:t>.</w:t>
      </w:r>
      <w:r>
        <w:t xml:space="preserve"> </w:t>
      </w:r>
      <w:r w:rsidR="00B94D3D">
        <w:t>T</w:t>
      </w:r>
      <w:r>
        <w:t>hese are:</w:t>
      </w:r>
    </w:p>
    <w:p w14:paraId="152737B1" w14:textId="77777777" w:rsidR="00CA2FD6" w:rsidRDefault="00CA2FD6" w:rsidP="00EE3D72">
      <w:pPr>
        <w:pStyle w:val="ListParagraph"/>
        <w:numPr>
          <w:ilvl w:val="0"/>
          <w:numId w:val="2"/>
        </w:numPr>
      </w:pPr>
      <w:r>
        <w:t>National Reporting and Learning System (NHS)</w:t>
      </w:r>
    </w:p>
    <w:p w14:paraId="1C902F29" w14:textId="77777777" w:rsidR="00CA2FD6" w:rsidRDefault="00CA2FD6" w:rsidP="00EE3D72">
      <w:pPr>
        <w:pStyle w:val="ListParagraph"/>
        <w:numPr>
          <w:ilvl w:val="0"/>
          <w:numId w:val="2"/>
        </w:numPr>
      </w:pPr>
      <w:r>
        <w:t>Statutory Notifications (Social Care)</w:t>
      </w:r>
    </w:p>
    <w:p w14:paraId="626DF1AA" w14:textId="77777777" w:rsidR="00CA2FD6" w:rsidRDefault="00CA2FD6" w:rsidP="00CA2FD6">
      <w:r>
        <w:t xml:space="preserve">In Social Care this is the “Harm threshold”, which is breached when a </w:t>
      </w:r>
      <w:r w:rsidR="00B94D3D">
        <w:t xml:space="preserve">statutory </w:t>
      </w:r>
      <w:r>
        <w:t>notification is required to CQC</w:t>
      </w:r>
      <w:r w:rsidR="00B94D3D">
        <w:t>. F</w:t>
      </w:r>
      <w:r>
        <w:t>urther guidance is to be issued shortly.</w:t>
      </w:r>
    </w:p>
    <w:p w14:paraId="2EDCE252" w14:textId="77777777" w:rsidR="00CA2FD6" w:rsidRPr="00987806" w:rsidRDefault="00CA2FD6" w:rsidP="00CA2FD6">
      <w:pPr>
        <w:rPr>
          <w:b/>
        </w:rPr>
      </w:pPr>
      <w:bookmarkStart w:id="3" w:name="_Toc409431232"/>
      <w:r w:rsidRPr="00096CD0">
        <w:rPr>
          <w:b/>
        </w:rPr>
        <w:t>Compassion humanity and candour</w:t>
      </w:r>
      <w:bookmarkEnd w:id="3"/>
    </w:p>
    <w:p w14:paraId="6AE33C47" w14:textId="77777777" w:rsidR="00CA2FD6" w:rsidRDefault="00CA2FD6" w:rsidP="00CA2FD6">
      <w:pPr>
        <w:rPr>
          <w:lang w:eastAsia="en-US"/>
        </w:rPr>
      </w:pPr>
      <w:r>
        <w:rPr>
          <w:lang w:eastAsia="en-US"/>
        </w:rPr>
        <w:t>The obligations and challenges of candour serve to remind us that for all its technological and forensic advances health and social care are still a deeply human activity. Systems and processes are necessary supports to good compassionate care, but they can never serve as its substitute. It follows from this that making reality of candour is a matter of hearts and minds more than it is a matter of systems and processes, important as</w:t>
      </w:r>
      <w:r w:rsidR="00B94D3D">
        <w:rPr>
          <w:lang w:eastAsia="en-US"/>
        </w:rPr>
        <w:t xml:space="preserve"> they may be. A compliance focu</w:t>
      </w:r>
      <w:r>
        <w:rPr>
          <w:lang w:eastAsia="en-US"/>
        </w:rPr>
        <w:t>sed approach will fail. Organisation</w:t>
      </w:r>
      <w:r w:rsidR="00B94D3D">
        <w:rPr>
          <w:lang w:eastAsia="en-US"/>
        </w:rPr>
        <w:t>s</w:t>
      </w:r>
      <w:r>
        <w:rPr>
          <w:lang w:eastAsia="en-US"/>
        </w:rPr>
        <w:t xml:space="preserve"> need to start from the simple recognition that candour is the right thing to do. The commitment to candour has to be about values, rooted in the genuine engagement of staff, building on their own professional duties and personal commitment to</w:t>
      </w:r>
      <w:r w:rsidR="002E259A">
        <w:rPr>
          <w:lang w:eastAsia="en-US"/>
        </w:rPr>
        <w:t xml:space="preserve"> Service User</w:t>
      </w:r>
      <w:r>
        <w:rPr>
          <w:lang w:eastAsia="en-US"/>
        </w:rPr>
        <w:t>s. It is right to be clear about thresholds and enforcement but nothing will be gained if we lose sight of the fundamental purpose of candour, which is to do the right thing for all users of health and social care services. Hence, the government’s choice of a statutory duty sends an equivocal signal to the health and social care sector that this matters. “Moderate harm” means harm that requires a moderate increase in treatment, and, significant but not permanent harm, moderate increase in treatment “means an unplanned return to surgery, an unplanned readmission, prolonged episode of care, extra time in hospital or as an outpatient, cancelling of treatment Care transfer to another treatment area (such as intensive care).</w:t>
      </w:r>
    </w:p>
    <w:p w14:paraId="2A8C5D7D" w14:textId="77777777" w:rsidR="00CA2FD6" w:rsidRDefault="00CA2FD6" w:rsidP="00CA2FD6">
      <w:pPr>
        <w:rPr>
          <w:lang w:eastAsia="en-US"/>
        </w:rPr>
      </w:pPr>
      <w:r>
        <w:rPr>
          <w:lang w:eastAsia="en-US"/>
        </w:rPr>
        <w:lastRenderedPageBreak/>
        <w:t>“Notifiable safety incident” means any unintended or unexpected incident that occurred in respect of a</w:t>
      </w:r>
      <w:r w:rsidR="002E259A">
        <w:rPr>
          <w:lang w:eastAsia="en-US"/>
        </w:rPr>
        <w:t xml:space="preserve"> Service User</w:t>
      </w:r>
      <w:r>
        <w:rPr>
          <w:lang w:eastAsia="en-US"/>
        </w:rPr>
        <w:t xml:space="preserve"> during the provision of a regulated activity that, in the reasonable opinion of a health care professional, could result in, or appears to have resulted in:</w:t>
      </w:r>
    </w:p>
    <w:p w14:paraId="65EB5B40" w14:textId="77777777" w:rsidR="00CA2FD6" w:rsidRDefault="00CA2FD6" w:rsidP="00EE3D72">
      <w:pPr>
        <w:pStyle w:val="ListParagraph"/>
        <w:numPr>
          <w:ilvl w:val="0"/>
          <w:numId w:val="3"/>
        </w:numPr>
      </w:pPr>
      <w:r>
        <w:t>The death of the</w:t>
      </w:r>
      <w:r w:rsidR="002E259A">
        <w:t xml:space="preserve"> Service User</w:t>
      </w:r>
      <w:r>
        <w:t>, where the death relates directly of the incident rather than to the natural course of the</w:t>
      </w:r>
      <w:r w:rsidR="002E259A">
        <w:t xml:space="preserve"> Service User</w:t>
      </w:r>
      <w:r>
        <w:t>’s illness or underlying condition, or</w:t>
      </w:r>
    </w:p>
    <w:p w14:paraId="11189419" w14:textId="77777777" w:rsidR="00CA2FD6" w:rsidRDefault="00CA2FD6" w:rsidP="00EE3D72">
      <w:pPr>
        <w:pStyle w:val="ListParagraph"/>
        <w:numPr>
          <w:ilvl w:val="0"/>
          <w:numId w:val="3"/>
        </w:numPr>
      </w:pPr>
      <w:r>
        <w:t>Severe harm</w:t>
      </w:r>
      <w:r w:rsidR="00B94D3D">
        <w:t>,</w:t>
      </w:r>
      <w:r>
        <w:t xml:space="preserve"> moderate harm</w:t>
      </w:r>
      <w:r w:rsidR="00B94D3D">
        <w:t>,</w:t>
      </w:r>
      <w:r>
        <w:t xml:space="preserve"> or prolonged psychological harm to the</w:t>
      </w:r>
      <w:r w:rsidR="002E259A">
        <w:t xml:space="preserve"> Service User</w:t>
      </w:r>
      <w:r>
        <w:t>;</w:t>
      </w:r>
      <w:r>
        <w:rPr>
          <w:lang w:val="sk-SK"/>
        </w:rPr>
        <w:t xml:space="preserve"> </w:t>
      </w:r>
      <w:r>
        <w:t>“prolonged psychological harm” means psychological harm which a</w:t>
      </w:r>
      <w:r w:rsidR="002E259A">
        <w:t xml:space="preserve"> Service User</w:t>
      </w:r>
      <w:r>
        <w:t xml:space="preserve"> has experienced or is likely to experience for a continuous period of at least 28 days;</w:t>
      </w:r>
    </w:p>
    <w:p w14:paraId="76F6417F" w14:textId="77777777" w:rsidR="00CA2FD6" w:rsidRDefault="00CA2FD6" w:rsidP="00EE3D72">
      <w:pPr>
        <w:pStyle w:val="ListParagraph"/>
        <w:numPr>
          <w:ilvl w:val="0"/>
          <w:numId w:val="3"/>
        </w:numPr>
      </w:pPr>
      <w:r>
        <w:t>“relevant person” means the</w:t>
      </w:r>
      <w:r w:rsidR="002E259A">
        <w:t xml:space="preserve"> Service User</w:t>
      </w:r>
      <w:r>
        <w:t xml:space="preserve"> or in the following circumstances, a person lawfully acting on their behalf</w:t>
      </w:r>
    </w:p>
    <w:p w14:paraId="603B8ABD" w14:textId="77777777" w:rsidR="00CA2FD6" w:rsidRPr="00B24A2C" w:rsidRDefault="00CA2FD6" w:rsidP="00EE3D72">
      <w:pPr>
        <w:pStyle w:val="ListParagraph"/>
        <w:numPr>
          <w:ilvl w:val="0"/>
          <w:numId w:val="3"/>
        </w:numPr>
      </w:pPr>
      <w:r>
        <w:t>on the death of the</w:t>
      </w:r>
      <w:r w:rsidR="002E259A">
        <w:t xml:space="preserve"> Service User</w:t>
      </w:r>
      <w:r>
        <w:t>;</w:t>
      </w:r>
    </w:p>
    <w:p w14:paraId="67465A30" w14:textId="77777777" w:rsidR="00CA2FD6" w:rsidRPr="0059533B" w:rsidRDefault="00CA2FD6" w:rsidP="00EE3D72">
      <w:pPr>
        <w:pStyle w:val="ListParagraph"/>
        <w:numPr>
          <w:ilvl w:val="0"/>
          <w:numId w:val="3"/>
        </w:numPr>
      </w:pPr>
      <w:r w:rsidRPr="00B24A2C">
        <w:t xml:space="preserve">where </w:t>
      </w:r>
      <w:r>
        <w:t>they are under 16 and not competed to make a decision in relation to their care or treatment, or where the</w:t>
      </w:r>
      <w:r w:rsidR="002E259A">
        <w:t xml:space="preserve"> Service User</w:t>
      </w:r>
      <w:r>
        <w:t xml:space="preserve"> is 16 or over and  lack capacity (as determined by the Mental Capacity Act 2005) in relation to the matter;</w:t>
      </w:r>
    </w:p>
    <w:p w14:paraId="10FEC200" w14:textId="77777777" w:rsidR="00CA2FD6" w:rsidRDefault="00CA2FD6" w:rsidP="00EE3D72">
      <w:pPr>
        <w:pStyle w:val="ListParagraph"/>
        <w:numPr>
          <w:ilvl w:val="0"/>
          <w:numId w:val="3"/>
        </w:numPr>
      </w:pPr>
      <w:r>
        <w:t xml:space="preserve">“severe harm” means a permanent lessening of bodily, sensory, motor, physiologic or intellectual functions including removal of the wrong limb or brain </w:t>
      </w:r>
      <w:r w:rsidR="00AD6AA6">
        <w:t>damage, which</w:t>
      </w:r>
      <w:r>
        <w:t xml:space="preserve"> is related directly to the incident and not related to the natural course of the</w:t>
      </w:r>
      <w:r w:rsidR="002E259A">
        <w:t xml:space="preserve"> Service User</w:t>
      </w:r>
      <w:r w:rsidR="00AD6AA6">
        <w:t>’s</w:t>
      </w:r>
      <w:r>
        <w:t xml:space="preserve"> illness or underlying condition.</w:t>
      </w:r>
    </w:p>
    <w:p w14:paraId="18653652" w14:textId="77777777" w:rsidR="00CA2FD6" w:rsidRDefault="00CA2FD6" w:rsidP="00CA2FD6">
      <w:r>
        <w:t>The Guidance set out below should be followed in order to fulfil our duty as a provider.</w:t>
      </w:r>
    </w:p>
    <w:p w14:paraId="7DE1A3BA" w14:textId="77777777" w:rsidR="00CA2FD6" w:rsidRDefault="00CA2FD6" w:rsidP="00CA2FD6">
      <w:r>
        <w:t>As soon as reasonably practicable:</w:t>
      </w:r>
    </w:p>
    <w:p w14:paraId="545322C3" w14:textId="77777777" w:rsidR="00CA2FD6" w:rsidRDefault="00CA2FD6" w:rsidP="00EE3D72">
      <w:pPr>
        <w:pStyle w:val="ListParagraph"/>
        <w:numPr>
          <w:ilvl w:val="0"/>
          <w:numId w:val="4"/>
        </w:numPr>
      </w:pPr>
      <w:r>
        <w:t>Notify the relevant people that the incident has occurred e.g. family, next of kin, advocate etc</w:t>
      </w:r>
    </w:p>
    <w:p w14:paraId="146966FD" w14:textId="77777777" w:rsidR="00CA2FD6" w:rsidRDefault="00CA2FD6" w:rsidP="00EE3D72">
      <w:pPr>
        <w:pStyle w:val="ListParagraph"/>
        <w:numPr>
          <w:ilvl w:val="0"/>
          <w:numId w:val="4"/>
        </w:numPr>
      </w:pPr>
      <w:r>
        <w:t>Provide support to the relevant person, where appropriate, including when informing them of the incident.</w:t>
      </w:r>
    </w:p>
    <w:p w14:paraId="2AA0AAB7" w14:textId="77777777" w:rsidR="00CA2FD6" w:rsidRDefault="00CA2FD6" w:rsidP="00EE3D72">
      <w:pPr>
        <w:pStyle w:val="ListParagraph"/>
        <w:numPr>
          <w:ilvl w:val="0"/>
          <w:numId w:val="4"/>
        </w:numPr>
      </w:pPr>
      <w:r>
        <w:t xml:space="preserve">The </w:t>
      </w:r>
      <w:r w:rsidR="00B94D3D">
        <w:t>information</w:t>
      </w:r>
      <w:r>
        <w:t xml:space="preserve"> should be given in person</w:t>
      </w:r>
      <w:r w:rsidR="00B94D3D">
        <w:t>, when possible</w:t>
      </w:r>
    </w:p>
    <w:p w14:paraId="70C1E7CC" w14:textId="77777777" w:rsidR="00CA2FD6" w:rsidRDefault="00CA2FD6" w:rsidP="00EE3D72">
      <w:pPr>
        <w:pStyle w:val="ListParagraph"/>
        <w:numPr>
          <w:ilvl w:val="0"/>
          <w:numId w:val="4"/>
        </w:numPr>
      </w:pPr>
      <w:r>
        <w:t>An account of the incident should be provided, which is factual and true at the date of the notification.</w:t>
      </w:r>
    </w:p>
    <w:p w14:paraId="59E67B96" w14:textId="77777777" w:rsidR="00CA2FD6" w:rsidRDefault="00CA2FD6" w:rsidP="00EE3D72">
      <w:pPr>
        <w:pStyle w:val="ListParagraph"/>
        <w:numPr>
          <w:ilvl w:val="0"/>
          <w:numId w:val="4"/>
        </w:numPr>
      </w:pPr>
      <w:r>
        <w:t>Advise them of the relevant steps or actions are to be taken</w:t>
      </w:r>
    </w:p>
    <w:p w14:paraId="7A201AB5" w14:textId="77777777" w:rsidR="00CA2FD6" w:rsidRDefault="00CA2FD6" w:rsidP="00EE3D72">
      <w:pPr>
        <w:pStyle w:val="ListParagraph"/>
        <w:numPr>
          <w:ilvl w:val="0"/>
          <w:numId w:val="4"/>
        </w:numPr>
      </w:pPr>
      <w:r>
        <w:t>Include an apology</w:t>
      </w:r>
    </w:p>
    <w:p w14:paraId="3CAD7D34" w14:textId="77777777" w:rsidR="00CA2FD6" w:rsidRDefault="00CA2FD6" w:rsidP="00EE3D72">
      <w:pPr>
        <w:pStyle w:val="ListParagraph"/>
        <w:numPr>
          <w:ilvl w:val="0"/>
          <w:numId w:val="4"/>
        </w:numPr>
      </w:pPr>
      <w:r>
        <w:t>Record the incident and the steps and actions taken</w:t>
      </w:r>
    </w:p>
    <w:p w14:paraId="66A8F9A6" w14:textId="77777777" w:rsidR="00CA2FD6" w:rsidRDefault="00CA2FD6" w:rsidP="00EE3D72">
      <w:pPr>
        <w:pStyle w:val="ListParagraph"/>
        <w:numPr>
          <w:ilvl w:val="0"/>
          <w:numId w:val="4"/>
        </w:numPr>
      </w:pPr>
      <w:r>
        <w:t>The notification must be followed up in writing, con</w:t>
      </w:r>
      <w:r w:rsidR="00B94D3D">
        <w:t>firming</w:t>
      </w:r>
      <w:r>
        <w:t xml:space="preserve"> all of the above points.</w:t>
      </w:r>
    </w:p>
    <w:p w14:paraId="7B7E3343" w14:textId="77777777" w:rsidR="00CA2FD6" w:rsidRDefault="00CA2FD6" w:rsidP="00CA2FD6">
      <w:r>
        <w:t>If the relevant person declines to engage in the process, this should be recorded and include the attempts to engage with them.</w:t>
      </w:r>
    </w:p>
    <w:p w14:paraId="33818900" w14:textId="77777777" w:rsidR="00CA2FD6" w:rsidRDefault="00CA2FD6" w:rsidP="00CA2FD6">
      <w:r>
        <w:t>In this regulation:</w:t>
      </w:r>
    </w:p>
    <w:p w14:paraId="0B71A1FD" w14:textId="77777777" w:rsidR="00CA2FD6" w:rsidRDefault="00CA2FD6" w:rsidP="00CA2FD6">
      <w:r>
        <w:t>“Apology” means an expression of sorrow or regret in respect of a Notifiable safety incident.</w:t>
      </w:r>
    </w:p>
    <w:p w14:paraId="21602A59" w14:textId="77777777" w:rsidR="00CA2FD6" w:rsidRDefault="00CA2FD6" w:rsidP="00CA2FD6">
      <w:r>
        <w:t>“Notifiable” means to an external regulator e.g. Care Quality Commission, Health and Safety Executive.</w:t>
      </w:r>
    </w:p>
    <w:p w14:paraId="01455E18" w14:textId="77777777" w:rsidR="00CA2FD6" w:rsidRDefault="00CA2FD6" w:rsidP="00CA2FD6">
      <w:r>
        <w:t>Separate guidance is to be issued with regard to this Regulation and this policy</w:t>
      </w:r>
      <w:r w:rsidR="00B94D3D">
        <w:t xml:space="preserve"> will be reviewed and amended in</w:t>
      </w:r>
      <w:r>
        <w:t xml:space="preserve"> publication of further guidance.</w:t>
      </w:r>
    </w:p>
    <w:p w14:paraId="5D377650" w14:textId="77777777" w:rsidR="00B94D3D" w:rsidRDefault="00B94D3D" w:rsidP="00CA2FD6">
      <w:pPr>
        <w:rPr>
          <w:b/>
        </w:rPr>
      </w:pPr>
      <w:bookmarkStart w:id="4" w:name="_Toc409431233"/>
    </w:p>
    <w:p w14:paraId="33C2D2BA" w14:textId="77777777" w:rsidR="00CA2FD6" w:rsidRPr="00987806" w:rsidRDefault="00CA2FD6" w:rsidP="00CA2FD6">
      <w:pPr>
        <w:rPr>
          <w:b/>
        </w:rPr>
      </w:pPr>
      <w:r w:rsidRPr="00096CD0">
        <w:rPr>
          <w:b/>
        </w:rPr>
        <w:lastRenderedPageBreak/>
        <w:t>Related Policies</w:t>
      </w:r>
      <w:bookmarkEnd w:id="4"/>
    </w:p>
    <w:p w14:paraId="541AEB95" w14:textId="77777777" w:rsidR="00CA2FD6" w:rsidRDefault="00CA2FD6" w:rsidP="00CA2FD6">
      <w:pPr>
        <w:rPr>
          <w:lang w:eastAsia="en-US"/>
        </w:rPr>
      </w:pPr>
      <w:r>
        <w:rPr>
          <w:lang w:eastAsia="en-US"/>
        </w:rPr>
        <w:t>Good Governance</w:t>
      </w:r>
    </w:p>
    <w:p w14:paraId="27CC8DF2" w14:textId="77777777" w:rsidR="00CA2FD6" w:rsidRDefault="00CA2FD6" w:rsidP="00CA2FD6">
      <w:pPr>
        <w:rPr>
          <w:lang w:eastAsia="en-US"/>
        </w:rPr>
      </w:pPr>
      <w:r>
        <w:rPr>
          <w:lang w:eastAsia="en-US"/>
        </w:rPr>
        <w:t>Notifications</w:t>
      </w:r>
    </w:p>
    <w:p w14:paraId="6D6E3615" w14:textId="77777777" w:rsidR="00CA2FD6" w:rsidRPr="00987806" w:rsidRDefault="00CA2FD6" w:rsidP="00CA2FD6">
      <w:pPr>
        <w:rPr>
          <w:b/>
        </w:rPr>
      </w:pPr>
      <w:bookmarkStart w:id="5" w:name="_Toc409431234"/>
      <w:r w:rsidRPr="00096CD0">
        <w:rPr>
          <w:b/>
        </w:rPr>
        <w:t>Training Statement</w:t>
      </w:r>
      <w:bookmarkEnd w:id="5"/>
    </w:p>
    <w:p w14:paraId="381DB42C" w14:textId="77777777" w:rsidR="00CA2FD6" w:rsidRPr="00A41B21" w:rsidRDefault="00CA2FD6" w:rsidP="00CA2FD6">
      <w:pPr>
        <w:rPr>
          <w:lang w:eastAsia="en-US"/>
        </w:rPr>
      </w:pPr>
      <w:r>
        <w:rPr>
          <w:lang w:eastAsia="en-US"/>
        </w:rPr>
        <w:t>The management need to be fully aware of this legal duty and it will be incorporated in to Induction and a separate briefing will be in place for all managers involved in good governance within their job role. All staff will be made aware of this policy and understand will lead to disciplinary process where a culture of openness and accountability is circumvented by intent.</w:t>
      </w:r>
    </w:p>
    <w:p w14:paraId="6695CF3A" w14:textId="77777777" w:rsidR="00CA2FD6" w:rsidRPr="006811A7" w:rsidRDefault="00CA2FD6" w:rsidP="00CA2FD6">
      <w:pPr>
        <w:spacing w:line="240" w:lineRule="auto"/>
        <w:rPr>
          <w:rFonts w:cs="Arial"/>
        </w:rPr>
      </w:pPr>
    </w:p>
    <w:p w14:paraId="1C3BDCB5" w14:textId="77777777" w:rsidR="00CA2FD6" w:rsidRPr="006811A7" w:rsidRDefault="00CA2FD6" w:rsidP="00CA2FD6">
      <w:pPr>
        <w:spacing w:line="240" w:lineRule="auto"/>
        <w:rPr>
          <w:rFonts w:cs="Arial"/>
        </w:rPr>
      </w:pPr>
      <w:r w:rsidRPr="006811A7">
        <w:rPr>
          <w:rFonts w:cs="Arial"/>
        </w:rPr>
        <w:t xml:space="preserve">This policy will be reviewed by the </w:t>
      </w:r>
      <w:r>
        <w:rPr>
          <w:rFonts w:cs="Arial"/>
        </w:rPr>
        <w:t>Registered Manager</w:t>
      </w:r>
      <w:r w:rsidRPr="006811A7">
        <w:rPr>
          <w:rFonts w:cs="Arial"/>
        </w:rPr>
        <w:t>.</w:t>
      </w:r>
    </w:p>
    <w:p w14:paraId="3F8ED02A" w14:textId="75D5CBF5" w:rsidR="00CA2FD6" w:rsidRPr="006811A7" w:rsidRDefault="00222411" w:rsidP="00CA2FD6">
      <w:pPr>
        <w:spacing w:before="100" w:beforeAutospacing="1" w:after="100" w:afterAutospacing="1" w:line="240" w:lineRule="auto"/>
        <w:rPr>
          <w:rFonts w:cs="Arial"/>
        </w:rPr>
      </w:pPr>
      <w:r w:rsidRPr="006811A7">
        <w:rPr>
          <w:rFonts w:cs="Arial"/>
        </w:rPr>
        <w:t>Signed:</w:t>
      </w:r>
      <w:r>
        <w:rPr>
          <w:rFonts w:cs="Arial"/>
        </w:rPr>
        <w:t xml:space="preserve"> Nassir Hassan</w:t>
      </w:r>
    </w:p>
    <w:p w14:paraId="64D4AEE0" w14:textId="6DA330C7" w:rsidR="00CA2FD6" w:rsidRPr="006811A7" w:rsidRDefault="00CA2FD6" w:rsidP="00CA2FD6">
      <w:pPr>
        <w:spacing w:before="100" w:beforeAutospacing="1" w:after="100" w:afterAutospacing="1" w:line="240" w:lineRule="auto"/>
        <w:rPr>
          <w:rFonts w:cs="Arial"/>
        </w:rPr>
      </w:pPr>
      <w:r w:rsidRPr="006811A7">
        <w:rPr>
          <w:rFonts w:cs="Arial"/>
        </w:rPr>
        <w:t>Date:</w:t>
      </w:r>
      <w:r w:rsidR="00222411">
        <w:rPr>
          <w:rFonts w:cs="Arial"/>
        </w:rPr>
        <w:t xml:space="preserve"> 12/01/2026</w:t>
      </w:r>
    </w:p>
    <w:p w14:paraId="645CDD93" w14:textId="77777777" w:rsidR="00CA2FD6" w:rsidRDefault="00CA2FD6" w:rsidP="00CA2FD6"/>
    <w:p w14:paraId="59AD4C42" w14:textId="77777777" w:rsidR="00DB4B15" w:rsidRPr="002C61F4" w:rsidRDefault="00DB4B15" w:rsidP="002C61F4"/>
    <w:sectPr w:rsidR="00DB4B15" w:rsidRPr="002C61F4" w:rsidSect="009849C9">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25E11"/>
    <w:multiLevelType w:val="hybridMultilevel"/>
    <w:tmpl w:val="E27EB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DDF2D86"/>
    <w:multiLevelType w:val="hybridMultilevel"/>
    <w:tmpl w:val="6D54B1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B6C04CA"/>
    <w:multiLevelType w:val="hybridMultilevel"/>
    <w:tmpl w:val="E9028C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7A172D8"/>
    <w:multiLevelType w:val="hybridMultilevel"/>
    <w:tmpl w:val="C38C62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C9"/>
    <w:rsid w:val="00006F80"/>
    <w:rsid w:val="000138BE"/>
    <w:rsid w:val="00051CA7"/>
    <w:rsid w:val="00064E41"/>
    <w:rsid w:val="00086C90"/>
    <w:rsid w:val="000914FC"/>
    <w:rsid w:val="000A2B94"/>
    <w:rsid w:val="000B5B83"/>
    <w:rsid w:val="000C4EC1"/>
    <w:rsid w:val="000F1862"/>
    <w:rsid w:val="001237C6"/>
    <w:rsid w:val="00164382"/>
    <w:rsid w:val="001F33DB"/>
    <w:rsid w:val="00213BB2"/>
    <w:rsid w:val="00222411"/>
    <w:rsid w:val="00243E71"/>
    <w:rsid w:val="002C61F4"/>
    <w:rsid w:val="002D1135"/>
    <w:rsid w:val="002E259A"/>
    <w:rsid w:val="00343243"/>
    <w:rsid w:val="003D037B"/>
    <w:rsid w:val="004076DD"/>
    <w:rsid w:val="00417935"/>
    <w:rsid w:val="004948AA"/>
    <w:rsid w:val="00594677"/>
    <w:rsid w:val="005E1F98"/>
    <w:rsid w:val="00646D72"/>
    <w:rsid w:val="006639EB"/>
    <w:rsid w:val="00701261"/>
    <w:rsid w:val="00711783"/>
    <w:rsid w:val="007F68BB"/>
    <w:rsid w:val="00815B76"/>
    <w:rsid w:val="008807FC"/>
    <w:rsid w:val="008C05C3"/>
    <w:rsid w:val="008D053A"/>
    <w:rsid w:val="009849C9"/>
    <w:rsid w:val="009C5CCF"/>
    <w:rsid w:val="009D4C0E"/>
    <w:rsid w:val="009E1239"/>
    <w:rsid w:val="00A00E4B"/>
    <w:rsid w:val="00AB3FC9"/>
    <w:rsid w:val="00AD6AA6"/>
    <w:rsid w:val="00B05C56"/>
    <w:rsid w:val="00B25A68"/>
    <w:rsid w:val="00B420F2"/>
    <w:rsid w:val="00B652C5"/>
    <w:rsid w:val="00B85C45"/>
    <w:rsid w:val="00B94D3D"/>
    <w:rsid w:val="00B95755"/>
    <w:rsid w:val="00BC79E1"/>
    <w:rsid w:val="00C32082"/>
    <w:rsid w:val="00C35FAD"/>
    <w:rsid w:val="00CA2FD6"/>
    <w:rsid w:val="00CF17E8"/>
    <w:rsid w:val="00D215F5"/>
    <w:rsid w:val="00DB4B15"/>
    <w:rsid w:val="00DD3870"/>
    <w:rsid w:val="00E0710F"/>
    <w:rsid w:val="00E813D2"/>
    <w:rsid w:val="00ED3891"/>
    <w:rsid w:val="00EE3D72"/>
    <w:rsid w:val="00F718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47EA"/>
  <w15:docId w15:val="{2100DC04-B2CC-4745-AB82-CE1F50B2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9C9"/>
    <w:pPr>
      <w:jc w:val="both"/>
    </w:pPr>
    <w:rPr>
      <w:rFonts w:ascii="Arial" w:eastAsiaTheme="minorEastAsia" w:hAnsi="Arial"/>
      <w:lang w:val="en-GB" w:eastAsia="sk-SK"/>
    </w:rPr>
  </w:style>
  <w:style w:type="paragraph" w:styleId="Heading1">
    <w:name w:val="heading 1"/>
    <w:basedOn w:val="Normal"/>
    <w:next w:val="Normal"/>
    <w:link w:val="Heading1Char"/>
    <w:uiPriority w:val="9"/>
    <w:qFormat/>
    <w:rsid w:val="009849C9"/>
    <w:pPr>
      <w:keepNext/>
      <w:spacing w:before="360" w:after="180"/>
      <w:outlineLvl w:val="0"/>
    </w:pPr>
    <w:rPr>
      <w:rFonts w:eastAsia="Times New Roman" w:cs="Times New Roman"/>
      <w:b/>
      <w:bCs/>
      <w:kern w:val="32"/>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9C9"/>
    <w:rPr>
      <w:rFonts w:ascii="Arial" w:eastAsia="Times New Roman" w:hAnsi="Arial" w:cs="Times New Roman"/>
      <w:b/>
      <w:bCs/>
      <w:kern w:val="32"/>
      <w:sz w:val="24"/>
      <w:szCs w:val="32"/>
      <w:lang w:val="en-GB"/>
    </w:rPr>
  </w:style>
  <w:style w:type="character" w:styleId="Strong">
    <w:name w:val="Strong"/>
    <w:basedOn w:val="Hyperlink"/>
    <w:qFormat/>
    <w:rsid w:val="009849C9"/>
    <w:rPr>
      <w:rFonts w:ascii="Arial" w:hAnsi="Arial"/>
      <w:bCs/>
      <w:color w:val="auto"/>
      <w:sz w:val="24"/>
      <w:u w:val="none"/>
    </w:rPr>
  </w:style>
  <w:style w:type="character" w:styleId="Hyperlink">
    <w:name w:val="Hyperlink"/>
    <w:basedOn w:val="DefaultParagraphFont"/>
    <w:uiPriority w:val="99"/>
    <w:unhideWhenUsed/>
    <w:rsid w:val="009849C9"/>
    <w:rPr>
      <w:color w:val="0000FF" w:themeColor="hyperlink"/>
      <w:u w:val="single"/>
    </w:rPr>
  </w:style>
  <w:style w:type="paragraph" w:styleId="ListParagraph">
    <w:name w:val="List Paragraph"/>
    <w:basedOn w:val="Normal"/>
    <w:uiPriority w:val="34"/>
    <w:qFormat/>
    <w:rsid w:val="000B5B83"/>
    <w:pPr>
      <w:ind w:left="720"/>
      <w:contextualSpacing/>
    </w:pPr>
    <w:rPr>
      <w:rFonts w:eastAsia="Calibri" w:cs="Times New Roman"/>
      <w:lang w:eastAsia="en-US"/>
    </w:rPr>
  </w:style>
  <w:style w:type="paragraph" w:styleId="BalloonText">
    <w:name w:val="Balloon Text"/>
    <w:basedOn w:val="Normal"/>
    <w:link w:val="BalloonTextChar"/>
    <w:uiPriority w:val="99"/>
    <w:semiHidden/>
    <w:unhideWhenUsed/>
    <w:rsid w:val="00213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BB2"/>
    <w:rPr>
      <w:rFonts w:ascii="Tahoma" w:eastAsiaTheme="minorEastAsia" w:hAnsi="Tahoma" w:cs="Tahoma"/>
      <w:sz w:val="16"/>
      <w:szCs w:val="16"/>
      <w:lang w:val="en-GB" w:eastAsia="sk-SK"/>
    </w:rPr>
  </w:style>
  <w:style w:type="paragraph" w:styleId="NormalWeb">
    <w:name w:val="Normal (Web)"/>
    <w:basedOn w:val="Normal"/>
    <w:uiPriority w:val="99"/>
    <w:rsid w:val="007117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ntenseEmphasis">
    <w:name w:val="Intense Emphasis"/>
    <w:aliases w:val="Main Text"/>
    <w:uiPriority w:val="21"/>
    <w:qFormat/>
    <w:rsid w:val="009C5CCF"/>
    <w:rPr>
      <w:rFonts w:ascii="Helvetica" w:hAnsi="Helvetica" w:cs="Helvetica" w:hint="default"/>
      <w:b w:val="0"/>
      <w:bCs w:val="0"/>
      <w:i w:val="0"/>
      <w:iCs w:val="0"/>
      <w:color w:val="595959" w:themeColor="text1" w:themeTint="A6"/>
      <w:sz w:val="22"/>
    </w:rPr>
  </w:style>
  <w:style w:type="paragraph" w:customStyle="1" w:styleId="western">
    <w:name w:val="western"/>
    <w:basedOn w:val="Normal"/>
    <w:rsid w:val="00DD3870"/>
    <w:pPr>
      <w:spacing w:before="119" w:after="0" w:line="278" w:lineRule="atLeast"/>
    </w:pPr>
    <w:rPr>
      <w:rFonts w:ascii="Times New Roman" w:eastAsia="Times New Roman" w:hAnsi="Times New Roman" w:cs="Times New Roman"/>
      <w:sz w:val="28"/>
      <w:szCs w:val="28"/>
      <w:lang w:eastAsia="en-US"/>
    </w:rPr>
  </w:style>
  <w:style w:type="paragraph" w:styleId="NoSpacing">
    <w:name w:val="No Spacing"/>
    <w:uiPriority w:val="1"/>
    <w:qFormat/>
    <w:rsid w:val="00164382"/>
    <w:pPr>
      <w:spacing w:after="0" w:line="240" w:lineRule="auto"/>
    </w:pPr>
    <w:rPr>
      <w:rFonts w:ascii="Arial" w:eastAsiaTheme="minorEastAsia" w:hAnsi="Aria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4987</Characters>
  <Application>Microsoft Office Word</Application>
  <DocSecurity>0</DocSecurity>
  <Lines>97</Lines>
  <Paragraphs>63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totingere20</dc:creator>
  <cp:lastModifiedBy>Nassir Hassan</cp:lastModifiedBy>
  <cp:revision>2</cp:revision>
  <dcterms:created xsi:type="dcterms:W3CDTF">2026-02-05T19:12:00Z</dcterms:created>
  <dcterms:modified xsi:type="dcterms:W3CDTF">2026-02-05T19:12:00Z</dcterms:modified>
</cp:coreProperties>
</file>