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5D0662EB" w14:textId="77777777" w:rsidTr="0075785F">
        <w:trPr>
          <w:trHeight w:val="1134"/>
          <w:jc w:val="center"/>
        </w:trPr>
        <w:tc>
          <w:tcPr>
            <w:tcW w:w="9639" w:type="dxa"/>
          </w:tcPr>
          <w:p w14:paraId="231AFA70" w14:textId="77777777" w:rsidR="0075785F" w:rsidRDefault="0075785F" w:rsidP="00866FCC">
            <w:pPr>
              <w:pStyle w:val="AMainBodyText"/>
            </w:pPr>
          </w:p>
        </w:tc>
      </w:tr>
      <w:tr w:rsidR="0075785F" w14:paraId="7D038190" w14:textId="77777777" w:rsidTr="0075785F">
        <w:trPr>
          <w:trHeight w:val="3814"/>
          <w:jc w:val="center"/>
        </w:trPr>
        <w:sdt>
          <w:sdtPr>
            <w:alias w:val="ccFrontCoverLogo"/>
            <w:tag w:val="ccFrontCover"/>
            <w:id w:val="1866709831"/>
            <w:picture/>
          </w:sdtPr>
          <w:sdtEndPr/>
          <w:sdtContent>
            <w:tc>
              <w:tcPr>
                <w:tcW w:w="9639" w:type="dxa"/>
              </w:tcPr>
              <w:p w14:paraId="590DAF1B" w14:textId="4947E3E4" w:rsidR="0075785F" w:rsidRDefault="009E4495" w:rsidP="00866FCC">
                <w:pPr>
                  <w:pStyle w:val="AMainBodyText"/>
                </w:pPr>
                <w:r>
                  <w:rPr>
                    <w:noProof/>
                  </w:rPr>
                  <w:drawing>
                    <wp:inline distT="0" distB="0" distL="0" distR="0" wp14:anchorId="65FE8927" wp14:editId="4FA07A82">
                      <wp:extent cx="2340000" cy="676825"/>
                      <wp:effectExtent l="0" t="0" r="3175" b="9525"/>
                      <wp:docPr id="1206702638" name="Picture 1"/>
                      <wp:cNvGraphicFramePr/>
                      <a:graphic xmlns:a="http://schemas.openxmlformats.org/drawingml/2006/main">
                        <a:graphicData uri="http://schemas.openxmlformats.org/drawingml/2006/picture">
                          <pic:pic xmlns:pic="http://schemas.openxmlformats.org/drawingml/2006/picture">
                            <pic:nvPicPr>
                              <pic:cNvPr id="120670263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2360E47" w14:textId="77777777" w:rsidTr="0075785F">
        <w:trPr>
          <w:jc w:val="center"/>
        </w:trPr>
        <w:tc>
          <w:tcPr>
            <w:tcW w:w="9639" w:type="dxa"/>
          </w:tcPr>
          <w:p w14:paraId="0A8E5A97" w14:textId="23C6ECF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B3163E">
              <w:rPr>
                <w:b/>
                <w:bCs/>
                <w:color w:val="4472C4" w:themeColor="text2"/>
                <w:sz w:val="44"/>
                <w:szCs w:val="44"/>
              </w:rPr>
              <w:t>CAL-HR-PSHR-0030</w:t>
            </w:r>
            <w:r w:rsidRPr="0075785F">
              <w:rPr>
                <w:b/>
                <w:bCs/>
                <w:color w:val="4472C4" w:themeColor="text2"/>
                <w:sz w:val="44"/>
                <w:szCs w:val="44"/>
              </w:rPr>
              <w:fldChar w:fldCharType="end"/>
            </w:r>
          </w:p>
        </w:tc>
      </w:tr>
      <w:tr w:rsidR="00866FCC" w14:paraId="107F1F07" w14:textId="77777777" w:rsidTr="00515B70">
        <w:trPr>
          <w:trHeight w:val="1070"/>
          <w:jc w:val="center"/>
        </w:trPr>
        <w:tc>
          <w:tcPr>
            <w:tcW w:w="9639" w:type="dxa"/>
          </w:tcPr>
          <w:p w14:paraId="3ECE6ED8" w14:textId="4B75ECE9"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B3163E">
              <w:rPr>
                <w:b/>
                <w:bCs/>
                <w:color w:val="4472C4" w:themeColor="text2"/>
                <w:sz w:val="44"/>
                <w:szCs w:val="44"/>
              </w:rPr>
              <w:t>Flexible Working</w:t>
            </w:r>
            <w:r w:rsidRPr="0075785F">
              <w:rPr>
                <w:b/>
                <w:bCs/>
                <w:color w:val="4472C4" w:themeColor="text2"/>
                <w:sz w:val="44"/>
                <w:szCs w:val="44"/>
              </w:rPr>
              <w:fldChar w:fldCharType="end"/>
            </w:r>
          </w:p>
        </w:tc>
      </w:tr>
      <w:tr w:rsidR="00866FCC" w14:paraId="66B4DA34" w14:textId="77777777" w:rsidTr="0075785F">
        <w:trPr>
          <w:jc w:val="center"/>
        </w:trPr>
        <w:tc>
          <w:tcPr>
            <w:tcW w:w="9639" w:type="dxa"/>
          </w:tcPr>
          <w:p w14:paraId="77D5F8C0" w14:textId="77777777" w:rsidR="00866FCC" w:rsidRPr="0075785F" w:rsidRDefault="00866FCC" w:rsidP="00866FCC">
            <w:pPr>
              <w:pStyle w:val="AMainBodyText"/>
              <w:rPr>
                <w:b/>
                <w:bCs/>
                <w:color w:val="4472C4" w:themeColor="text2"/>
                <w:sz w:val="44"/>
                <w:szCs w:val="44"/>
              </w:rPr>
            </w:pPr>
          </w:p>
        </w:tc>
      </w:tr>
      <w:tr w:rsidR="00866FCC" w14:paraId="550226CA" w14:textId="77777777" w:rsidTr="00515B70">
        <w:trPr>
          <w:trHeight w:val="1953"/>
          <w:jc w:val="center"/>
        </w:trPr>
        <w:tc>
          <w:tcPr>
            <w:tcW w:w="9639" w:type="dxa"/>
          </w:tcPr>
          <w:p w14:paraId="4323F1DB" w14:textId="6B98E02E" w:rsidR="00866FCC" w:rsidRPr="0075785F" w:rsidRDefault="00866FCC" w:rsidP="00866FCC">
            <w:pPr>
              <w:pStyle w:val="AMainBodyText"/>
              <w:rPr>
                <w:b/>
                <w:bCs/>
                <w:color w:val="4472C4" w:themeColor="text2"/>
                <w:sz w:val="44"/>
                <w:szCs w:val="44"/>
              </w:rPr>
            </w:pPr>
          </w:p>
        </w:tc>
      </w:tr>
      <w:tr w:rsidR="00866FCC" w14:paraId="0FACEEA8" w14:textId="77777777" w:rsidTr="00515B70">
        <w:trPr>
          <w:trHeight w:val="3248"/>
          <w:jc w:val="center"/>
        </w:trPr>
        <w:tc>
          <w:tcPr>
            <w:tcW w:w="9639" w:type="dxa"/>
          </w:tcPr>
          <w:p w14:paraId="4E96F11E" w14:textId="77777777" w:rsidR="00866FCC" w:rsidRDefault="00866FCC" w:rsidP="00866FCC">
            <w:pPr>
              <w:pStyle w:val="AMainBodyText"/>
            </w:pPr>
          </w:p>
        </w:tc>
      </w:tr>
      <w:tr w:rsidR="00866FCC" w14:paraId="25EFB042" w14:textId="77777777" w:rsidTr="0075785F">
        <w:trPr>
          <w:jc w:val="center"/>
        </w:trPr>
        <w:tc>
          <w:tcPr>
            <w:tcW w:w="9639" w:type="dxa"/>
          </w:tcPr>
          <w:p w14:paraId="784C65F0" w14:textId="7397FB68"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B3163E">
              <w:rPr>
                <w:color w:val="4472C4" w:themeColor="text2"/>
                <w:sz w:val="28"/>
                <w:szCs w:val="28"/>
              </w:rPr>
              <w:t>01</w:t>
            </w:r>
            <w:r>
              <w:rPr>
                <w:color w:val="4472C4" w:themeColor="text2"/>
                <w:sz w:val="28"/>
                <w:szCs w:val="28"/>
              </w:rPr>
              <w:fldChar w:fldCharType="end"/>
            </w:r>
          </w:p>
        </w:tc>
      </w:tr>
      <w:tr w:rsidR="0075785F" w14:paraId="5FCF05E8" w14:textId="77777777" w:rsidTr="0075785F">
        <w:trPr>
          <w:trHeight w:val="1118"/>
          <w:jc w:val="center"/>
        </w:trPr>
        <w:tc>
          <w:tcPr>
            <w:tcW w:w="9639" w:type="dxa"/>
          </w:tcPr>
          <w:p w14:paraId="7749A86B" w14:textId="1231C991" w:rsidR="0075785F" w:rsidRPr="0075785F" w:rsidRDefault="0075785F" w:rsidP="00866FCC">
            <w:pPr>
              <w:pStyle w:val="AMainBodyText"/>
              <w:rPr>
                <w:color w:val="4472C4" w:themeColor="text2"/>
                <w:sz w:val="28"/>
                <w:szCs w:val="28"/>
              </w:rPr>
            </w:pPr>
          </w:p>
        </w:tc>
      </w:tr>
    </w:tbl>
    <w:p w14:paraId="24228AFF" w14:textId="77777777" w:rsidR="00F84322" w:rsidRDefault="00F84322" w:rsidP="0075785F">
      <w:pPr>
        <w:pStyle w:val="AHeaderSeperator"/>
      </w:pPr>
    </w:p>
    <w:p w14:paraId="5C3B19D3" w14:textId="77777777" w:rsidR="00866FCC" w:rsidRDefault="00866FCC" w:rsidP="00866FCC">
      <w:pPr>
        <w:pStyle w:val="AMainBodyText"/>
      </w:pPr>
    </w:p>
    <w:p w14:paraId="625A8E8A"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783F7545" w14:textId="77777777" w:rsidTr="007C2906">
        <w:trPr>
          <w:trHeight w:val="340"/>
        </w:trPr>
        <w:tc>
          <w:tcPr>
            <w:tcW w:w="9639" w:type="dxa"/>
            <w:gridSpan w:val="4"/>
            <w:shd w:val="clear" w:color="auto" w:fill="6AA2DA" w:themeFill="accent2"/>
          </w:tcPr>
          <w:p w14:paraId="471B2AA2"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6B817FCF" w14:textId="77777777" w:rsidTr="007C2906">
        <w:trPr>
          <w:trHeight w:val="454"/>
        </w:trPr>
        <w:tc>
          <w:tcPr>
            <w:tcW w:w="1413" w:type="dxa"/>
            <w:shd w:val="clear" w:color="auto" w:fill="6AA2DA" w:themeFill="accent2"/>
          </w:tcPr>
          <w:p w14:paraId="3582D1E7" w14:textId="77777777" w:rsidR="002753E0" w:rsidRPr="00822C43" w:rsidRDefault="002753E0" w:rsidP="007C2906">
            <w:pPr>
              <w:pStyle w:val="AControlHeaderLeft"/>
            </w:pPr>
            <w:r w:rsidRPr="000E3C8A">
              <w:t>Status:</w:t>
            </w:r>
          </w:p>
        </w:tc>
        <w:tc>
          <w:tcPr>
            <w:tcW w:w="4961" w:type="dxa"/>
            <w:shd w:val="clear" w:color="auto" w:fill="auto"/>
          </w:tcPr>
          <w:p w14:paraId="76BB4BE1" w14:textId="65FA4B37" w:rsidR="002753E0" w:rsidRPr="00713B8E" w:rsidRDefault="0083001B" w:rsidP="00713B8E">
            <w:pPr>
              <w:pStyle w:val="ATableBodyLeft"/>
            </w:pPr>
            <w:r>
              <w:t>Live</w:t>
            </w:r>
          </w:p>
        </w:tc>
        <w:tc>
          <w:tcPr>
            <w:tcW w:w="851" w:type="dxa"/>
            <w:shd w:val="clear" w:color="auto" w:fill="6AA2DA" w:themeFill="accent2"/>
          </w:tcPr>
          <w:p w14:paraId="0A5AE317" w14:textId="77777777" w:rsidR="002753E0" w:rsidRPr="00822C43" w:rsidRDefault="002753E0" w:rsidP="007C2906">
            <w:pPr>
              <w:pStyle w:val="AControlHeaderLeft"/>
            </w:pPr>
            <w:r w:rsidRPr="00822C43">
              <w:t>Date:</w:t>
            </w:r>
          </w:p>
        </w:tc>
        <w:tc>
          <w:tcPr>
            <w:tcW w:w="2414" w:type="dxa"/>
            <w:shd w:val="clear" w:color="auto" w:fill="auto"/>
          </w:tcPr>
          <w:p w14:paraId="5BC68FA4" w14:textId="30D95CC4" w:rsidR="002753E0" w:rsidRPr="00713B8E" w:rsidRDefault="00DD07F3" w:rsidP="00713B8E">
            <w:pPr>
              <w:pStyle w:val="ATableBodyLeft"/>
            </w:pPr>
            <w:fldSimple w:instr=" DocProperty &quot;cpIssueDate&quot; ">
              <w:r w:rsidR="00B3163E">
                <w:t>28 Oct 2024</w:t>
              </w:r>
            </w:fldSimple>
          </w:p>
        </w:tc>
      </w:tr>
    </w:tbl>
    <w:p w14:paraId="6211245B"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6522DA85" w14:textId="77777777" w:rsidTr="007C2906">
        <w:trPr>
          <w:trHeight w:val="340"/>
        </w:trPr>
        <w:tc>
          <w:tcPr>
            <w:tcW w:w="9639" w:type="dxa"/>
            <w:gridSpan w:val="3"/>
            <w:shd w:val="clear" w:color="auto" w:fill="6AA2DA" w:themeFill="accent2"/>
          </w:tcPr>
          <w:p w14:paraId="46AC9026" w14:textId="77777777" w:rsidR="002753E0" w:rsidRPr="005F6A79" w:rsidRDefault="002753E0" w:rsidP="007C2906">
            <w:pPr>
              <w:pStyle w:val="AControlHeaderLeft"/>
            </w:pPr>
            <w:r w:rsidRPr="006159C2">
              <w:t>Approval / Acceptance</w:t>
            </w:r>
          </w:p>
        </w:tc>
      </w:tr>
      <w:tr w:rsidR="007C2906" w:rsidRPr="006159C2" w14:paraId="13DC64DF" w14:textId="77777777" w:rsidTr="007C2906">
        <w:trPr>
          <w:trHeight w:val="283"/>
        </w:trPr>
        <w:tc>
          <w:tcPr>
            <w:tcW w:w="1418" w:type="dxa"/>
            <w:shd w:val="clear" w:color="auto" w:fill="6AA2DA" w:themeFill="accent2"/>
          </w:tcPr>
          <w:p w14:paraId="0525FC8F" w14:textId="77777777" w:rsidR="002753E0" w:rsidRPr="007C2906" w:rsidRDefault="002753E0" w:rsidP="007C2906">
            <w:pPr>
              <w:pStyle w:val="AControlHeader"/>
            </w:pPr>
          </w:p>
        </w:tc>
        <w:tc>
          <w:tcPr>
            <w:tcW w:w="4001" w:type="dxa"/>
            <w:shd w:val="clear" w:color="auto" w:fill="6AA2DA" w:themeFill="accent2"/>
          </w:tcPr>
          <w:p w14:paraId="1D569E11" w14:textId="77777777" w:rsidR="002753E0" w:rsidRPr="006159C2" w:rsidRDefault="002753E0" w:rsidP="007C2906">
            <w:pPr>
              <w:pStyle w:val="AControlHeader"/>
            </w:pPr>
            <w:r w:rsidRPr="006159C2">
              <w:t>Author</w:t>
            </w:r>
          </w:p>
        </w:tc>
        <w:tc>
          <w:tcPr>
            <w:tcW w:w="4220" w:type="dxa"/>
            <w:shd w:val="clear" w:color="auto" w:fill="6AA2DA" w:themeFill="accent2"/>
          </w:tcPr>
          <w:p w14:paraId="1EFABAC9" w14:textId="77777777" w:rsidR="002753E0" w:rsidRPr="006159C2" w:rsidRDefault="002753E0" w:rsidP="007C2906">
            <w:pPr>
              <w:pStyle w:val="AControlHeader"/>
            </w:pPr>
            <w:r w:rsidRPr="006159C2">
              <w:t>Approved</w:t>
            </w:r>
          </w:p>
        </w:tc>
      </w:tr>
      <w:tr w:rsidR="00713B8E" w:rsidRPr="00713B8E" w14:paraId="5C35A83A" w14:textId="77777777" w:rsidTr="007C2906">
        <w:trPr>
          <w:trHeight w:val="454"/>
        </w:trPr>
        <w:tc>
          <w:tcPr>
            <w:tcW w:w="1418" w:type="dxa"/>
            <w:shd w:val="clear" w:color="auto" w:fill="6AA2DA" w:themeFill="accent2"/>
          </w:tcPr>
          <w:p w14:paraId="09168D2A" w14:textId="77777777" w:rsidR="002753E0" w:rsidRPr="007C2906" w:rsidRDefault="002753E0" w:rsidP="007C2906">
            <w:pPr>
              <w:pStyle w:val="AControlHeaderLeft"/>
            </w:pPr>
            <w:r w:rsidRPr="007C2906">
              <w:t>Title:</w:t>
            </w:r>
          </w:p>
        </w:tc>
        <w:tc>
          <w:tcPr>
            <w:tcW w:w="4001" w:type="dxa"/>
            <w:shd w:val="clear" w:color="auto" w:fill="auto"/>
          </w:tcPr>
          <w:p w14:paraId="4132490B" w14:textId="67803221" w:rsidR="002753E0" w:rsidRPr="00713B8E" w:rsidRDefault="0083001B" w:rsidP="00713B8E">
            <w:pPr>
              <w:pStyle w:val="ATableBodyLeft"/>
            </w:pPr>
            <w:r>
              <w:t>Director</w:t>
            </w:r>
          </w:p>
        </w:tc>
        <w:tc>
          <w:tcPr>
            <w:tcW w:w="4220" w:type="dxa"/>
            <w:shd w:val="clear" w:color="auto" w:fill="auto"/>
          </w:tcPr>
          <w:p w14:paraId="4128FB18" w14:textId="1515FE6B" w:rsidR="002753E0" w:rsidRPr="00713B8E" w:rsidRDefault="002753E0" w:rsidP="00713B8E">
            <w:pPr>
              <w:pStyle w:val="ATableBodyLeft"/>
            </w:pPr>
          </w:p>
        </w:tc>
      </w:tr>
      <w:tr w:rsidR="00713B8E" w:rsidRPr="00713B8E" w14:paraId="2B689D5C" w14:textId="77777777" w:rsidTr="007C2906">
        <w:trPr>
          <w:trHeight w:val="454"/>
        </w:trPr>
        <w:tc>
          <w:tcPr>
            <w:tcW w:w="1418" w:type="dxa"/>
            <w:shd w:val="clear" w:color="auto" w:fill="6AA2DA" w:themeFill="accent2"/>
          </w:tcPr>
          <w:p w14:paraId="1183911D" w14:textId="77777777" w:rsidR="002753E0" w:rsidRPr="007C2906" w:rsidRDefault="002753E0" w:rsidP="007C2906">
            <w:pPr>
              <w:pStyle w:val="AControlHeaderLeft"/>
            </w:pPr>
            <w:r w:rsidRPr="007C2906">
              <w:t>Company:</w:t>
            </w:r>
          </w:p>
        </w:tc>
        <w:tc>
          <w:tcPr>
            <w:tcW w:w="4001" w:type="dxa"/>
            <w:shd w:val="clear" w:color="auto" w:fill="auto"/>
          </w:tcPr>
          <w:p w14:paraId="7F62C96B" w14:textId="076FFA59" w:rsidR="002753E0" w:rsidRPr="00713B8E" w:rsidRDefault="0083001B" w:rsidP="00713B8E">
            <w:pPr>
              <w:pStyle w:val="ATableBodyLeft"/>
            </w:pPr>
            <w:r>
              <w:t>M2 Safety Consultants Ltd</w:t>
            </w:r>
          </w:p>
        </w:tc>
        <w:tc>
          <w:tcPr>
            <w:tcW w:w="4220" w:type="dxa"/>
            <w:shd w:val="clear" w:color="auto" w:fill="auto"/>
          </w:tcPr>
          <w:p w14:paraId="0BD5FD71" w14:textId="32628BD9" w:rsidR="002753E0" w:rsidRPr="00713B8E" w:rsidRDefault="00DD07F3" w:rsidP="00713B8E">
            <w:pPr>
              <w:pStyle w:val="ATableBodyLeft"/>
            </w:pPr>
            <w:fldSimple w:instr=" DocProperty &quot;Company&quot; ">
              <w:r w:rsidR="00B3163E">
                <w:t>Calforth Construction Ltd</w:t>
              </w:r>
            </w:fldSimple>
          </w:p>
        </w:tc>
      </w:tr>
      <w:tr w:rsidR="00713B8E" w:rsidRPr="00713B8E" w14:paraId="26B9C2BC" w14:textId="77777777" w:rsidTr="007C2906">
        <w:trPr>
          <w:trHeight w:val="454"/>
        </w:trPr>
        <w:tc>
          <w:tcPr>
            <w:tcW w:w="1418" w:type="dxa"/>
            <w:shd w:val="clear" w:color="auto" w:fill="6AA2DA" w:themeFill="accent2"/>
          </w:tcPr>
          <w:p w14:paraId="6769ACEF" w14:textId="77777777" w:rsidR="002753E0" w:rsidRPr="007C2906" w:rsidRDefault="002753E0" w:rsidP="007C2906">
            <w:pPr>
              <w:pStyle w:val="AControlHeaderLeft"/>
            </w:pPr>
            <w:r w:rsidRPr="007C2906">
              <w:t>Name:</w:t>
            </w:r>
          </w:p>
        </w:tc>
        <w:tc>
          <w:tcPr>
            <w:tcW w:w="4001" w:type="dxa"/>
            <w:shd w:val="clear" w:color="auto" w:fill="auto"/>
          </w:tcPr>
          <w:p w14:paraId="5C1C36D9" w14:textId="30B09042" w:rsidR="002753E0" w:rsidRPr="00713B8E" w:rsidRDefault="0083001B" w:rsidP="00713B8E">
            <w:pPr>
              <w:pStyle w:val="ATableBodyLeft"/>
            </w:pPr>
            <w:r>
              <w:t>Fraser Morrison</w:t>
            </w:r>
          </w:p>
        </w:tc>
        <w:tc>
          <w:tcPr>
            <w:tcW w:w="4220" w:type="dxa"/>
            <w:shd w:val="clear" w:color="auto" w:fill="auto"/>
          </w:tcPr>
          <w:p w14:paraId="4170FD7F" w14:textId="3704D5AA" w:rsidR="002753E0" w:rsidRPr="00713B8E" w:rsidRDefault="00DD07F3" w:rsidP="00713B8E">
            <w:pPr>
              <w:pStyle w:val="ATableBodyLeft"/>
            </w:pPr>
            <w:fldSimple w:instr=" DocProperty &quot;cpApprovedBy&quot; ">
              <w:r w:rsidR="00B3163E">
                <w:t>Approved By</w:t>
              </w:r>
            </w:fldSimple>
          </w:p>
        </w:tc>
      </w:tr>
      <w:tr w:rsidR="00713B8E" w:rsidRPr="00713B8E" w14:paraId="71D11035" w14:textId="77777777" w:rsidTr="007C2906">
        <w:trPr>
          <w:trHeight w:val="1134"/>
        </w:trPr>
        <w:tc>
          <w:tcPr>
            <w:tcW w:w="1418" w:type="dxa"/>
            <w:shd w:val="clear" w:color="auto" w:fill="6AA2DA" w:themeFill="accent2"/>
          </w:tcPr>
          <w:p w14:paraId="3F7078B8"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58D3FD30" w14:textId="77777777" w:rsidR="002753E0" w:rsidRPr="00713B8E" w:rsidRDefault="00C97D4C" w:rsidP="00713B8E">
                <w:pPr>
                  <w:pStyle w:val="ATableBodyLeft"/>
                </w:pPr>
                <w:r>
                  <w:rPr>
                    <w:noProof/>
                  </w:rPr>
                  <w:drawing>
                    <wp:inline distT="0" distB="0" distL="0" distR="0" wp14:anchorId="6EC8A02C" wp14:editId="21B5A648">
                      <wp:extent cx="1905000" cy="4608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picture/>
          </w:sdtPr>
          <w:sdtEndPr/>
          <w:sdtContent>
            <w:tc>
              <w:tcPr>
                <w:tcW w:w="4220" w:type="dxa"/>
                <w:shd w:val="clear" w:color="auto" w:fill="auto"/>
              </w:tcPr>
              <w:p w14:paraId="57A50C2D" w14:textId="72FC29D4" w:rsidR="002753E0" w:rsidRPr="00713B8E" w:rsidRDefault="0083001B" w:rsidP="00713B8E">
                <w:pPr>
                  <w:pStyle w:val="ATableBodyLeft"/>
                </w:pPr>
                <w:r>
                  <w:rPr>
                    <w:noProof/>
                  </w:rPr>
                  <w:drawing>
                    <wp:inline distT="0" distB="0" distL="0" distR="0" wp14:anchorId="2D85B0E9" wp14:editId="3CEDDB4B">
                      <wp:extent cx="1905000" cy="703036"/>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9"/>
                              <a:stretch>
                                <a:fillRect/>
                              </a:stretch>
                            </pic:blipFill>
                            <pic:spPr bwMode="auto">
                              <a:xfrm>
                                <a:off x="0" y="0"/>
                                <a:ext cx="1905000" cy="703036"/>
                              </a:xfrm>
                              <a:prstGeom prst="rect">
                                <a:avLst/>
                              </a:prstGeom>
                              <a:noFill/>
                              <a:ln>
                                <a:noFill/>
                              </a:ln>
                            </pic:spPr>
                          </pic:pic>
                        </a:graphicData>
                      </a:graphic>
                    </wp:inline>
                  </w:drawing>
                </w:r>
              </w:p>
            </w:tc>
          </w:sdtContent>
        </w:sdt>
      </w:tr>
      <w:tr w:rsidR="00713B8E" w:rsidRPr="00713B8E" w14:paraId="6B287DC2" w14:textId="77777777" w:rsidTr="007C2906">
        <w:trPr>
          <w:trHeight w:val="454"/>
        </w:trPr>
        <w:tc>
          <w:tcPr>
            <w:tcW w:w="1418" w:type="dxa"/>
            <w:shd w:val="clear" w:color="auto" w:fill="6AA2DA" w:themeFill="accent2"/>
          </w:tcPr>
          <w:p w14:paraId="7C67B6BD" w14:textId="77777777" w:rsidR="002753E0" w:rsidRPr="007C2906" w:rsidRDefault="002753E0" w:rsidP="007C2906">
            <w:pPr>
              <w:pStyle w:val="AControlHeaderLeft"/>
            </w:pPr>
            <w:r w:rsidRPr="007C2906">
              <w:t>Date:</w:t>
            </w:r>
          </w:p>
        </w:tc>
        <w:tc>
          <w:tcPr>
            <w:tcW w:w="4001" w:type="dxa"/>
            <w:shd w:val="clear" w:color="auto" w:fill="auto"/>
          </w:tcPr>
          <w:p w14:paraId="31DA69AC" w14:textId="5523BDA3" w:rsidR="002753E0" w:rsidRPr="00713B8E" w:rsidRDefault="00DD07F3" w:rsidP="00713B8E">
            <w:pPr>
              <w:pStyle w:val="ATableBodyLeft"/>
            </w:pPr>
            <w:fldSimple w:instr=" DocProperty &quot;cpIssueDate&quot; ">
              <w:r w:rsidR="00B3163E">
                <w:t>28 Oct 2024</w:t>
              </w:r>
            </w:fldSimple>
          </w:p>
        </w:tc>
        <w:tc>
          <w:tcPr>
            <w:tcW w:w="4220" w:type="dxa"/>
            <w:shd w:val="clear" w:color="auto" w:fill="auto"/>
          </w:tcPr>
          <w:p w14:paraId="2314AC73" w14:textId="3E2C6139" w:rsidR="002753E0" w:rsidRPr="00713B8E" w:rsidRDefault="00DD07F3" w:rsidP="00713B8E">
            <w:pPr>
              <w:pStyle w:val="ATableBodyLeft"/>
            </w:pPr>
            <w:fldSimple w:instr=" DocProperty &quot;cpIssueDate&quot; ">
              <w:r w:rsidR="00B3163E">
                <w:t>28 Oct 2024</w:t>
              </w:r>
            </w:fldSimple>
          </w:p>
        </w:tc>
      </w:tr>
    </w:tbl>
    <w:p w14:paraId="0B6D6E58"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22F95DD3" w14:textId="77777777" w:rsidTr="007C2906">
        <w:trPr>
          <w:trHeight w:val="340"/>
        </w:trPr>
        <w:tc>
          <w:tcPr>
            <w:tcW w:w="9639" w:type="dxa"/>
            <w:gridSpan w:val="6"/>
            <w:shd w:val="clear" w:color="auto" w:fill="6AA2DA" w:themeFill="accent2"/>
          </w:tcPr>
          <w:p w14:paraId="002EEAFB" w14:textId="77777777" w:rsidR="002753E0" w:rsidRPr="005F6A79" w:rsidRDefault="002753E0" w:rsidP="007C2906">
            <w:pPr>
              <w:pStyle w:val="AControlHeaderLeft"/>
            </w:pPr>
            <w:r w:rsidRPr="006159C2">
              <w:t>Revision History</w:t>
            </w:r>
          </w:p>
        </w:tc>
      </w:tr>
      <w:tr w:rsidR="00075279" w:rsidRPr="00075279" w14:paraId="487D7648" w14:textId="77777777" w:rsidTr="007C2906">
        <w:trPr>
          <w:trHeight w:val="227"/>
        </w:trPr>
        <w:tc>
          <w:tcPr>
            <w:tcW w:w="9639" w:type="dxa"/>
            <w:gridSpan w:val="6"/>
            <w:shd w:val="clear" w:color="auto" w:fill="auto"/>
          </w:tcPr>
          <w:p w14:paraId="53913BCC" w14:textId="77777777" w:rsidR="002753E0" w:rsidRPr="00713B8E" w:rsidRDefault="002753E0" w:rsidP="00713B8E">
            <w:pPr>
              <w:pStyle w:val="ATableBodyLeft"/>
            </w:pPr>
            <w:r w:rsidRPr="00713B8E">
              <w:t>This document should be reviewed at least every 12 months to maintain its effectiveness.</w:t>
            </w:r>
          </w:p>
          <w:p w14:paraId="05AFE8AA"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843C453" w14:textId="77777777" w:rsidTr="007C2906">
        <w:trPr>
          <w:trHeight w:val="283"/>
        </w:trPr>
        <w:tc>
          <w:tcPr>
            <w:tcW w:w="668" w:type="dxa"/>
            <w:shd w:val="clear" w:color="auto" w:fill="6AA2DA" w:themeFill="accent2"/>
          </w:tcPr>
          <w:p w14:paraId="102F8EA9" w14:textId="77777777" w:rsidR="002753E0" w:rsidRPr="006159C2" w:rsidRDefault="002753E0" w:rsidP="0007200A">
            <w:pPr>
              <w:pStyle w:val="AControlHeader"/>
            </w:pPr>
            <w:r w:rsidRPr="006159C2">
              <w:t>Rev:</w:t>
            </w:r>
          </w:p>
        </w:tc>
        <w:tc>
          <w:tcPr>
            <w:tcW w:w="1474" w:type="dxa"/>
            <w:shd w:val="clear" w:color="auto" w:fill="6AA2DA" w:themeFill="accent2"/>
          </w:tcPr>
          <w:p w14:paraId="0B80AF75" w14:textId="77777777" w:rsidR="002753E0" w:rsidRPr="006159C2" w:rsidRDefault="002753E0" w:rsidP="0007200A">
            <w:pPr>
              <w:pStyle w:val="AControlHeader"/>
            </w:pPr>
            <w:r w:rsidRPr="006159C2">
              <w:t>Date:</w:t>
            </w:r>
          </w:p>
        </w:tc>
        <w:tc>
          <w:tcPr>
            <w:tcW w:w="2402" w:type="dxa"/>
            <w:shd w:val="clear" w:color="auto" w:fill="6AA2DA" w:themeFill="accent2"/>
          </w:tcPr>
          <w:p w14:paraId="62D7C89C"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0B37EFDA"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7BF9363D" w14:textId="77777777" w:rsidR="002753E0" w:rsidRPr="006159C2" w:rsidRDefault="002753E0" w:rsidP="0007200A">
            <w:pPr>
              <w:pStyle w:val="AControlHeader"/>
            </w:pPr>
            <w:r w:rsidRPr="006159C2">
              <w:t>Prepared by:</w:t>
            </w:r>
          </w:p>
        </w:tc>
        <w:tc>
          <w:tcPr>
            <w:tcW w:w="1350" w:type="dxa"/>
            <w:shd w:val="clear" w:color="auto" w:fill="6AA2DA" w:themeFill="accent2"/>
          </w:tcPr>
          <w:p w14:paraId="22A2BD45" w14:textId="77777777" w:rsidR="002753E0" w:rsidRPr="006159C2" w:rsidRDefault="002753E0" w:rsidP="0007200A">
            <w:pPr>
              <w:pStyle w:val="AControlHeader"/>
            </w:pPr>
            <w:r w:rsidRPr="006159C2">
              <w:t>Checked by:</w:t>
            </w:r>
          </w:p>
        </w:tc>
      </w:tr>
      <w:tr w:rsidR="00713B8E" w:rsidRPr="00713B8E" w14:paraId="3222DB67" w14:textId="77777777" w:rsidTr="007C2906">
        <w:tc>
          <w:tcPr>
            <w:tcW w:w="668" w:type="dxa"/>
            <w:shd w:val="clear" w:color="auto" w:fill="auto"/>
          </w:tcPr>
          <w:p w14:paraId="3ACF9033" w14:textId="77777777" w:rsidR="002753E0" w:rsidRPr="00713B8E" w:rsidRDefault="002753E0" w:rsidP="00713B8E">
            <w:pPr>
              <w:pStyle w:val="ATableBodyLeft"/>
            </w:pPr>
          </w:p>
        </w:tc>
        <w:tc>
          <w:tcPr>
            <w:tcW w:w="1474" w:type="dxa"/>
            <w:shd w:val="clear" w:color="auto" w:fill="auto"/>
          </w:tcPr>
          <w:p w14:paraId="47DBCB85" w14:textId="77777777" w:rsidR="002753E0" w:rsidRPr="00713B8E" w:rsidRDefault="002753E0" w:rsidP="00713B8E">
            <w:pPr>
              <w:pStyle w:val="ATableBodyLeft"/>
            </w:pPr>
          </w:p>
        </w:tc>
        <w:tc>
          <w:tcPr>
            <w:tcW w:w="2402" w:type="dxa"/>
            <w:shd w:val="clear" w:color="auto" w:fill="auto"/>
          </w:tcPr>
          <w:p w14:paraId="561B82BC" w14:textId="77777777" w:rsidR="002753E0" w:rsidRPr="00713B8E" w:rsidRDefault="002753E0" w:rsidP="00713B8E">
            <w:pPr>
              <w:pStyle w:val="ATableBodyLeft"/>
            </w:pPr>
          </w:p>
        </w:tc>
        <w:tc>
          <w:tcPr>
            <w:tcW w:w="2403" w:type="dxa"/>
            <w:shd w:val="clear" w:color="auto" w:fill="auto"/>
          </w:tcPr>
          <w:p w14:paraId="787342D5" w14:textId="77777777" w:rsidR="002753E0" w:rsidRPr="00713B8E" w:rsidRDefault="002753E0" w:rsidP="00713B8E">
            <w:pPr>
              <w:pStyle w:val="ATableBodyLeft"/>
            </w:pPr>
          </w:p>
        </w:tc>
        <w:tc>
          <w:tcPr>
            <w:tcW w:w="1342" w:type="dxa"/>
            <w:shd w:val="clear" w:color="auto" w:fill="auto"/>
          </w:tcPr>
          <w:p w14:paraId="78D7CBBA" w14:textId="77777777" w:rsidR="002753E0" w:rsidRPr="00713B8E" w:rsidRDefault="002753E0" w:rsidP="00713B8E">
            <w:pPr>
              <w:pStyle w:val="ATableBodyLeft"/>
            </w:pPr>
          </w:p>
        </w:tc>
        <w:tc>
          <w:tcPr>
            <w:tcW w:w="1350" w:type="dxa"/>
            <w:shd w:val="clear" w:color="auto" w:fill="auto"/>
          </w:tcPr>
          <w:p w14:paraId="09AFA392" w14:textId="77777777" w:rsidR="002753E0" w:rsidRPr="00713B8E" w:rsidRDefault="002753E0" w:rsidP="00713B8E">
            <w:pPr>
              <w:pStyle w:val="ATableBodyLeft"/>
            </w:pPr>
          </w:p>
        </w:tc>
      </w:tr>
      <w:tr w:rsidR="00713B8E" w:rsidRPr="00713B8E" w14:paraId="4934A64D" w14:textId="77777777" w:rsidTr="007C2906">
        <w:tc>
          <w:tcPr>
            <w:tcW w:w="668" w:type="dxa"/>
            <w:shd w:val="clear" w:color="auto" w:fill="auto"/>
          </w:tcPr>
          <w:p w14:paraId="7E47BD34" w14:textId="77777777" w:rsidR="002753E0" w:rsidRPr="00713B8E" w:rsidRDefault="002753E0" w:rsidP="00713B8E">
            <w:pPr>
              <w:pStyle w:val="ATableBodyLeft"/>
            </w:pPr>
          </w:p>
        </w:tc>
        <w:tc>
          <w:tcPr>
            <w:tcW w:w="1474" w:type="dxa"/>
            <w:shd w:val="clear" w:color="auto" w:fill="auto"/>
          </w:tcPr>
          <w:p w14:paraId="21327C56" w14:textId="77777777" w:rsidR="002753E0" w:rsidRPr="00713B8E" w:rsidRDefault="002753E0" w:rsidP="00713B8E">
            <w:pPr>
              <w:pStyle w:val="ATableBodyLeft"/>
            </w:pPr>
          </w:p>
        </w:tc>
        <w:tc>
          <w:tcPr>
            <w:tcW w:w="2402" w:type="dxa"/>
            <w:shd w:val="clear" w:color="auto" w:fill="auto"/>
          </w:tcPr>
          <w:p w14:paraId="28D8C03E" w14:textId="77777777" w:rsidR="002753E0" w:rsidRPr="00713B8E" w:rsidRDefault="002753E0" w:rsidP="00713B8E">
            <w:pPr>
              <w:pStyle w:val="ATableBodyLeft"/>
            </w:pPr>
          </w:p>
        </w:tc>
        <w:tc>
          <w:tcPr>
            <w:tcW w:w="2403" w:type="dxa"/>
            <w:shd w:val="clear" w:color="auto" w:fill="auto"/>
          </w:tcPr>
          <w:p w14:paraId="1E53CB90" w14:textId="77777777" w:rsidR="002753E0" w:rsidRPr="00713B8E" w:rsidRDefault="002753E0" w:rsidP="00713B8E">
            <w:pPr>
              <w:pStyle w:val="ATableBodyLeft"/>
            </w:pPr>
          </w:p>
        </w:tc>
        <w:tc>
          <w:tcPr>
            <w:tcW w:w="1342" w:type="dxa"/>
            <w:shd w:val="clear" w:color="auto" w:fill="auto"/>
          </w:tcPr>
          <w:p w14:paraId="0FB52044" w14:textId="77777777" w:rsidR="002753E0" w:rsidRPr="00713B8E" w:rsidRDefault="002753E0" w:rsidP="00713B8E">
            <w:pPr>
              <w:pStyle w:val="ATableBodyLeft"/>
            </w:pPr>
          </w:p>
        </w:tc>
        <w:tc>
          <w:tcPr>
            <w:tcW w:w="1350" w:type="dxa"/>
            <w:shd w:val="clear" w:color="auto" w:fill="auto"/>
          </w:tcPr>
          <w:p w14:paraId="32A39916" w14:textId="77777777" w:rsidR="002753E0" w:rsidRPr="00713B8E" w:rsidRDefault="002753E0" w:rsidP="00713B8E">
            <w:pPr>
              <w:pStyle w:val="ATableBodyLeft"/>
            </w:pPr>
          </w:p>
        </w:tc>
      </w:tr>
      <w:tr w:rsidR="00713B8E" w:rsidRPr="00713B8E" w14:paraId="51A42706" w14:textId="77777777" w:rsidTr="007C2906">
        <w:tc>
          <w:tcPr>
            <w:tcW w:w="668" w:type="dxa"/>
            <w:shd w:val="clear" w:color="auto" w:fill="auto"/>
          </w:tcPr>
          <w:p w14:paraId="03DCB27D" w14:textId="77777777" w:rsidR="002753E0" w:rsidRPr="00713B8E" w:rsidRDefault="002753E0" w:rsidP="00713B8E">
            <w:pPr>
              <w:pStyle w:val="ATableBodyLeft"/>
            </w:pPr>
          </w:p>
        </w:tc>
        <w:tc>
          <w:tcPr>
            <w:tcW w:w="1474" w:type="dxa"/>
            <w:shd w:val="clear" w:color="auto" w:fill="auto"/>
          </w:tcPr>
          <w:p w14:paraId="44B82912" w14:textId="77777777" w:rsidR="002753E0" w:rsidRPr="00713B8E" w:rsidRDefault="002753E0" w:rsidP="00713B8E">
            <w:pPr>
              <w:pStyle w:val="ATableBodyLeft"/>
            </w:pPr>
          </w:p>
        </w:tc>
        <w:tc>
          <w:tcPr>
            <w:tcW w:w="2402" w:type="dxa"/>
            <w:shd w:val="clear" w:color="auto" w:fill="auto"/>
          </w:tcPr>
          <w:p w14:paraId="680C7233" w14:textId="77777777" w:rsidR="002753E0" w:rsidRPr="00713B8E" w:rsidRDefault="002753E0" w:rsidP="00713B8E">
            <w:pPr>
              <w:pStyle w:val="ATableBodyLeft"/>
            </w:pPr>
          </w:p>
        </w:tc>
        <w:tc>
          <w:tcPr>
            <w:tcW w:w="2403" w:type="dxa"/>
            <w:shd w:val="clear" w:color="auto" w:fill="auto"/>
          </w:tcPr>
          <w:p w14:paraId="4086067D" w14:textId="77777777" w:rsidR="002753E0" w:rsidRPr="00713B8E" w:rsidRDefault="002753E0" w:rsidP="00713B8E">
            <w:pPr>
              <w:pStyle w:val="ATableBodyLeft"/>
            </w:pPr>
          </w:p>
        </w:tc>
        <w:tc>
          <w:tcPr>
            <w:tcW w:w="1342" w:type="dxa"/>
            <w:shd w:val="clear" w:color="auto" w:fill="auto"/>
          </w:tcPr>
          <w:p w14:paraId="70B3BBD4" w14:textId="77777777" w:rsidR="002753E0" w:rsidRPr="00713B8E" w:rsidRDefault="002753E0" w:rsidP="00713B8E">
            <w:pPr>
              <w:pStyle w:val="ATableBodyLeft"/>
            </w:pPr>
          </w:p>
        </w:tc>
        <w:tc>
          <w:tcPr>
            <w:tcW w:w="1350" w:type="dxa"/>
            <w:shd w:val="clear" w:color="auto" w:fill="auto"/>
          </w:tcPr>
          <w:p w14:paraId="3A39ACBA" w14:textId="77777777" w:rsidR="002753E0" w:rsidRPr="00713B8E" w:rsidRDefault="002753E0" w:rsidP="00713B8E">
            <w:pPr>
              <w:pStyle w:val="ATableBodyLeft"/>
            </w:pPr>
          </w:p>
        </w:tc>
      </w:tr>
      <w:tr w:rsidR="00713B8E" w:rsidRPr="00713B8E" w14:paraId="72A244C8" w14:textId="77777777" w:rsidTr="007C2906">
        <w:tc>
          <w:tcPr>
            <w:tcW w:w="668" w:type="dxa"/>
            <w:shd w:val="clear" w:color="auto" w:fill="auto"/>
          </w:tcPr>
          <w:p w14:paraId="2179E7A6" w14:textId="77777777" w:rsidR="002753E0" w:rsidRPr="00713B8E" w:rsidRDefault="002753E0" w:rsidP="00713B8E">
            <w:pPr>
              <w:pStyle w:val="ATableBodyLeft"/>
            </w:pPr>
          </w:p>
        </w:tc>
        <w:tc>
          <w:tcPr>
            <w:tcW w:w="1474" w:type="dxa"/>
            <w:shd w:val="clear" w:color="auto" w:fill="auto"/>
          </w:tcPr>
          <w:p w14:paraId="5CB8964E" w14:textId="77777777" w:rsidR="002753E0" w:rsidRPr="00713B8E" w:rsidRDefault="002753E0" w:rsidP="00713B8E">
            <w:pPr>
              <w:pStyle w:val="ATableBodyLeft"/>
            </w:pPr>
          </w:p>
        </w:tc>
        <w:tc>
          <w:tcPr>
            <w:tcW w:w="2402" w:type="dxa"/>
            <w:shd w:val="clear" w:color="auto" w:fill="auto"/>
          </w:tcPr>
          <w:p w14:paraId="306B27B9" w14:textId="77777777" w:rsidR="002753E0" w:rsidRPr="00713B8E" w:rsidRDefault="002753E0" w:rsidP="00713B8E">
            <w:pPr>
              <w:pStyle w:val="ATableBodyLeft"/>
            </w:pPr>
          </w:p>
        </w:tc>
        <w:tc>
          <w:tcPr>
            <w:tcW w:w="2403" w:type="dxa"/>
            <w:shd w:val="clear" w:color="auto" w:fill="auto"/>
          </w:tcPr>
          <w:p w14:paraId="19DFA193" w14:textId="77777777" w:rsidR="002753E0" w:rsidRPr="00713B8E" w:rsidRDefault="002753E0" w:rsidP="00713B8E">
            <w:pPr>
              <w:pStyle w:val="ATableBodyLeft"/>
            </w:pPr>
          </w:p>
        </w:tc>
        <w:tc>
          <w:tcPr>
            <w:tcW w:w="1342" w:type="dxa"/>
            <w:shd w:val="clear" w:color="auto" w:fill="auto"/>
          </w:tcPr>
          <w:p w14:paraId="3346552D" w14:textId="77777777" w:rsidR="002753E0" w:rsidRPr="00713B8E" w:rsidRDefault="002753E0" w:rsidP="00713B8E">
            <w:pPr>
              <w:pStyle w:val="ATableBodyLeft"/>
            </w:pPr>
          </w:p>
        </w:tc>
        <w:tc>
          <w:tcPr>
            <w:tcW w:w="1350" w:type="dxa"/>
            <w:shd w:val="clear" w:color="auto" w:fill="auto"/>
          </w:tcPr>
          <w:p w14:paraId="2C3E71D8" w14:textId="77777777" w:rsidR="002753E0" w:rsidRPr="00713B8E" w:rsidRDefault="002753E0" w:rsidP="00713B8E">
            <w:pPr>
              <w:pStyle w:val="ATableBodyLeft"/>
            </w:pPr>
          </w:p>
        </w:tc>
      </w:tr>
      <w:tr w:rsidR="00713B8E" w:rsidRPr="00713B8E" w14:paraId="5E1BC654" w14:textId="77777777" w:rsidTr="007C2906">
        <w:tc>
          <w:tcPr>
            <w:tcW w:w="668" w:type="dxa"/>
            <w:tcBorders>
              <w:bottom w:val="single" w:sz="4" w:space="0" w:color="000000" w:themeColor="text1"/>
            </w:tcBorders>
            <w:shd w:val="clear" w:color="auto" w:fill="auto"/>
          </w:tcPr>
          <w:p w14:paraId="56359A46"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616C65BD"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1687FC99"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9F23380"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5BAE9EFF"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5516933F" w14:textId="77777777" w:rsidR="002753E0" w:rsidRPr="00713B8E" w:rsidRDefault="002753E0" w:rsidP="00713B8E">
            <w:pPr>
              <w:pStyle w:val="ATableBodyLeft"/>
            </w:pPr>
          </w:p>
        </w:tc>
      </w:tr>
      <w:tr w:rsidR="00713B8E" w:rsidRPr="00713B8E" w14:paraId="66E4E984" w14:textId="77777777" w:rsidTr="007C2906">
        <w:tc>
          <w:tcPr>
            <w:tcW w:w="668" w:type="dxa"/>
            <w:tcBorders>
              <w:left w:val="nil"/>
              <w:bottom w:val="nil"/>
              <w:right w:val="nil"/>
            </w:tcBorders>
            <w:shd w:val="clear" w:color="auto" w:fill="auto"/>
          </w:tcPr>
          <w:p w14:paraId="6A947AAD"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5D3329D8"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0ED92BFF"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3C799806"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FC9F579"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21DAEDE3" w14:textId="77777777" w:rsidR="002753E0" w:rsidRPr="00713B8E" w:rsidRDefault="002753E0" w:rsidP="00713B8E">
            <w:pPr>
              <w:pStyle w:val="ATableBodyLeft"/>
            </w:pPr>
          </w:p>
        </w:tc>
      </w:tr>
    </w:tbl>
    <w:p w14:paraId="76DF54CD" w14:textId="77777777" w:rsidR="002753E0" w:rsidRDefault="002753E0" w:rsidP="00D3521A">
      <w:pPr>
        <w:pStyle w:val="ATableBodyLeft"/>
      </w:pPr>
    </w:p>
    <w:p w14:paraId="70C5333B" w14:textId="77777777" w:rsidR="00D35DF3" w:rsidRDefault="00D35DF3">
      <w:r>
        <w:br w:type="page"/>
      </w:r>
    </w:p>
    <w:p w14:paraId="584B5AE3" w14:textId="77777777" w:rsidR="00D35DF3" w:rsidRDefault="00D35DF3" w:rsidP="00D35DF3">
      <w:pPr>
        <w:pStyle w:val="Heading6"/>
      </w:pPr>
      <w:r>
        <w:lastRenderedPageBreak/>
        <w:t>Contents</w:t>
      </w:r>
    </w:p>
    <w:p w14:paraId="431035A9" w14:textId="0360CD56" w:rsidR="00B3163E"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256" w:history="1">
        <w:r w:rsidR="00B3163E" w:rsidRPr="00221DA0">
          <w:rPr>
            <w:rStyle w:val="Hyperlink"/>
            <w:noProof/>
          </w:rPr>
          <w:t>1.0</w:t>
        </w:r>
        <w:r w:rsidR="00B3163E">
          <w:rPr>
            <w:rFonts w:asciiTheme="minorHAnsi" w:eastAsiaTheme="minorEastAsia" w:hAnsiTheme="minorHAnsi" w:cstheme="minorBidi"/>
            <w:bCs w:val="0"/>
            <w:noProof/>
            <w:color w:val="auto"/>
            <w:kern w:val="2"/>
            <w:szCs w:val="24"/>
            <w:lang w:eastAsia="en-GB"/>
            <w14:ligatures w14:val="standardContextual"/>
          </w:rPr>
          <w:tab/>
        </w:r>
        <w:r w:rsidR="00B3163E" w:rsidRPr="00221DA0">
          <w:rPr>
            <w:rStyle w:val="Hyperlink"/>
            <w:noProof/>
          </w:rPr>
          <w:t>INTRODUCTION</w:t>
        </w:r>
        <w:r w:rsidR="00B3163E">
          <w:rPr>
            <w:noProof/>
            <w:webHidden/>
          </w:rPr>
          <w:tab/>
        </w:r>
        <w:r w:rsidR="00B3163E">
          <w:rPr>
            <w:noProof/>
            <w:webHidden/>
          </w:rPr>
          <w:fldChar w:fldCharType="begin"/>
        </w:r>
        <w:r w:rsidR="00B3163E">
          <w:rPr>
            <w:noProof/>
            <w:webHidden/>
          </w:rPr>
          <w:instrText xml:space="preserve"> PAGEREF _Toc181035256 \h </w:instrText>
        </w:r>
        <w:r w:rsidR="00B3163E">
          <w:rPr>
            <w:noProof/>
            <w:webHidden/>
          </w:rPr>
        </w:r>
        <w:r w:rsidR="00B3163E">
          <w:rPr>
            <w:noProof/>
            <w:webHidden/>
          </w:rPr>
          <w:fldChar w:fldCharType="separate"/>
        </w:r>
        <w:r w:rsidR="00B3163E">
          <w:rPr>
            <w:noProof/>
            <w:webHidden/>
          </w:rPr>
          <w:t>1</w:t>
        </w:r>
        <w:r w:rsidR="00B3163E">
          <w:rPr>
            <w:noProof/>
            <w:webHidden/>
          </w:rPr>
          <w:fldChar w:fldCharType="end"/>
        </w:r>
      </w:hyperlink>
    </w:p>
    <w:p w14:paraId="5FE76E3B" w14:textId="28FD46DB" w:rsidR="00B3163E" w:rsidRDefault="00B3163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7" w:history="1">
        <w:r w:rsidRPr="00221DA0">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221DA0">
          <w:rPr>
            <w:rStyle w:val="Hyperlink"/>
            <w:noProof/>
          </w:rPr>
          <w:t>OBJECTIVES</w:t>
        </w:r>
        <w:r>
          <w:rPr>
            <w:noProof/>
            <w:webHidden/>
          </w:rPr>
          <w:tab/>
        </w:r>
        <w:r>
          <w:rPr>
            <w:noProof/>
            <w:webHidden/>
          </w:rPr>
          <w:fldChar w:fldCharType="begin"/>
        </w:r>
        <w:r>
          <w:rPr>
            <w:noProof/>
            <w:webHidden/>
          </w:rPr>
          <w:instrText xml:space="preserve"> PAGEREF _Toc181035257 \h </w:instrText>
        </w:r>
        <w:r>
          <w:rPr>
            <w:noProof/>
            <w:webHidden/>
          </w:rPr>
        </w:r>
        <w:r>
          <w:rPr>
            <w:noProof/>
            <w:webHidden/>
          </w:rPr>
          <w:fldChar w:fldCharType="separate"/>
        </w:r>
        <w:r>
          <w:rPr>
            <w:noProof/>
            <w:webHidden/>
          </w:rPr>
          <w:t>1</w:t>
        </w:r>
        <w:r>
          <w:rPr>
            <w:noProof/>
            <w:webHidden/>
          </w:rPr>
          <w:fldChar w:fldCharType="end"/>
        </w:r>
      </w:hyperlink>
    </w:p>
    <w:p w14:paraId="4C7CC578" w14:textId="2F7E2B7A" w:rsidR="00B3163E" w:rsidRDefault="00B3163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8" w:history="1">
        <w:r w:rsidRPr="00221DA0">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221DA0">
          <w:rPr>
            <w:rStyle w:val="Hyperlink"/>
            <w:noProof/>
          </w:rPr>
          <w:t>ENTITLEMENTS &amp; ELIGIBILITY</w:t>
        </w:r>
        <w:r>
          <w:rPr>
            <w:noProof/>
            <w:webHidden/>
          </w:rPr>
          <w:tab/>
        </w:r>
        <w:r>
          <w:rPr>
            <w:noProof/>
            <w:webHidden/>
          </w:rPr>
          <w:fldChar w:fldCharType="begin"/>
        </w:r>
        <w:r>
          <w:rPr>
            <w:noProof/>
            <w:webHidden/>
          </w:rPr>
          <w:instrText xml:space="preserve"> PAGEREF _Toc181035258 \h </w:instrText>
        </w:r>
        <w:r>
          <w:rPr>
            <w:noProof/>
            <w:webHidden/>
          </w:rPr>
        </w:r>
        <w:r>
          <w:rPr>
            <w:noProof/>
            <w:webHidden/>
          </w:rPr>
          <w:fldChar w:fldCharType="separate"/>
        </w:r>
        <w:r>
          <w:rPr>
            <w:noProof/>
            <w:webHidden/>
          </w:rPr>
          <w:t>1</w:t>
        </w:r>
        <w:r>
          <w:rPr>
            <w:noProof/>
            <w:webHidden/>
          </w:rPr>
          <w:fldChar w:fldCharType="end"/>
        </w:r>
      </w:hyperlink>
    </w:p>
    <w:p w14:paraId="69B065FB" w14:textId="0E765BAD" w:rsidR="00B3163E" w:rsidRDefault="00B3163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9" w:history="1">
        <w:r w:rsidRPr="00221DA0">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221DA0">
          <w:rPr>
            <w:rStyle w:val="Hyperlink"/>
            <w:noProof/>
          </w:rPr>
          <w:t>PROCEDURE</w:t>
        </w:r>
        <w:r>
          <w:rPr>
            <w:noProof/>
            <w:webHidden/>
          </w:rPr>
          <w:tab/>
        </w:r>
        <w:r>
          <w:rPr>
            <w:noProof/>
            <w:webHidden/>
          </w:rPr>
          <w:fldChar w:fldCharType="begin"/>
        </w:r>
        <w:r>
          <w:rPr>
            <w:noProof/>
            <w:webHidden/>
          </w:rPr>
          <w:instrText xml:space="preserve"> PAGEREF _Toc181035259 \h </w:instrText>
        </w:r>
        <w:r>
          <w:rPr>
            <w:noProof/>
            <w:webHidden/>
          </w:rPr>
        </w:r>
        <w:r>
          <w:rPr>
            <w:noProof/>
            <w:webHidden/>
          </w:rPr>
          <w:fldChar w:fldCharType="separate"/>
        </w:r>
        <w:r>
          <w:rPr>
            <w:noProof/>
            <w:webHidden/>
          </w:rPr>
          <w:t>2</w:t>
        </w:r>
        <w:r>
          <w:rPr>
            <w:noProof/>
            <w:webHidden/>
          </w:rPr>
          <w:fldChar w:fldCharType="end"/>
        </w:r>
      </w:hyperlink>
    </w:p>
    <w:p w14:paraId="2F4542C6" w14:textId="05A58A31" w:rsidR="00B3163E" w:rsidRDefault="00B3163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60" w:history="1">
        <w:r w:rsidRPr="00221DA0">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221DA0">
          <w:rPr>
            <w:rStyle w:val="Hyperlink"/>
            <w:noProof/>
          </w:rPr>
          <w:t>Application Procedure</w:t>
        </w:r>
        <w:r>
          <w:rPr>
            <w:noProof/>
            <w:webHidden/>
          </w:rPr>
          <w:tab/>
        </w:r>
        <w:r>
          <w:rPr>
            <w:noProof/>
            <w:webHidden/>
          </w:rPr>
          <w:fldChar w:fldCharType="begin"/>
        </w:r>
        <w:r>
          <w:rPr>
            <w:noProof/>
            <w:webHidden/>
          </w:rPr>
          <w:instrText xml:space="preserve"> PAGEREF _Toc181035260 \h </w:instrText>
        </w:r>
        <w:r>
          <w:rPr>
            <w:noProof/>
            <w:webHidden/>
          </w:rPr>
        </w:r>
        <w:r>
          <w:rPr>
            <w:noProof/>
            <w:webHidden/>
          </w:rPr>
          <w:fldChar w:fldCharType="separate"/>
        </w:r>
        <w:r>
          <w:rPr>
            <w:noProof/>
            <w:webHidden/>
          </w:rPr>
          <w:t>2</w:t>
        </w:r>
        <w:r>
          <w:rPr>
            <w:noProof/>
            <w:webHidden/>
          </w:rPr>
          <w:fldChar w:fldCharType="end"/>
        </w:r>
      </w:hyperlink>
    </w:p>
    <w:p w14:paraId="0F1F71AF" w14:textId="173B653A" w:rsidR="00B3163E" w:rsidRDefault="00B3163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61" w:history="1">
        <w:r w:rsidRPr="00221DA0">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221DA0">
          <w:rPr>
            <w:rStyle w:val="Hyperlink"/>
            <w:noProof/>
          </w:rPr>
          <w:t>Stage 1 – Request for Flexible Working</w:t>
        </w:r>
        <w:r>
          <w:rPr>
            <w:noProof/>
            <w:webHidden/>
          </w:rPr>
          <w:tab/>
        </w:r>
        <w:r>
          <w:rPr>
            <w:noProof/>
            <w:webHidden/>
          </w:rPr>
          <w:fldChar w:fldCharType="begin"/>
        </w:r>
        <w:r>
          <w:rPr>
            <w:noProof/>
            <w:webHidden/>
          </w:rPr>
          <w:instrText xml:space="preserve"> PAGEREF _Toc181035261 \h </w:instrText>
        </w:r>
        <w:r>
          <w:rPr>
            <w:noProof/>
            <w:webHidden/>
          </w:rPr>
        </w:r>
        <w:r>
          <w:rPr>
            <w:noProof/>
            <w:webHidden/>
          </w:rPr>
          <w:fldChar w:fldCharType="separate"/>
        </w:r>
        <w:r>
          <w:rPr>
            <w:noProof/>
            <w:webHidden/>
          </w:rPr>
          <w:t>2</w:t>
        </w:r>
        <w:r>
          <w:rPr>
            <w:noProof/>
            <w:webHidden/>
          </w:rPr>
          <w:fldChar w:fldCharType="end"/>
        </w:r>
      </w:hyperlink>
    </w:p>
    <w:p w14:paraId="4459128D" w14:textId="28FFA9D0" w:rsidR="00B3163E" w:rsidRDefault="00B3163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62" w:history="1">
        <w:r w:rsidRPr="00221DA0">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221DA0">
          <w:rPr>
            <w:rStyle w:val="Hyperlink"/>
            <w:noProof/>
          </w:rPr>
          <w:t>Stage 2 – Consideration of Flexible Working Request</w:t>
        </w:r>
        <w:r>
          <w:rPr>
            <w:noProof/>
            <w:webHidden/>
          </w:rPr>
          <w:tab/>
        </w:r>
        <w:r>
          <w:rPr>
            <w:noProof/>
            <w:webHidden/>
          </w:rPr>
          <w:fldChar w:fldCharType="begin"/>
        </w:r>
        <w:r>
          <w:rPr>
            <w:noProof/>
            <w:webHidden/>
          </w:rPr>
          <w:instrText xml:space="preserve"> PAGEREF _Toc181035262 \h </w:instrText>
        </w:r>
        <w:r>
          <w:rPr>
            <w:noProof/>
            <w:webHidden/>
          </w:rPr>
        </w:r>
        <w:r>
          <w:rPr>
            <w:noProof/>
            <w:webHidden/>
          </w:rPr>
          <w:fldChar w:fldCharType="separate"/>
        </w:r>
        <w:r>
          <w:rPr>
            <w:noProof/>
            <w:webHidden/>
          </w:rPr>
          <w:t>2</w:t>
        </w:r>
        <w:r>
          <w:rPr>
            <w:noProof/>
            <w:webHidden/>
          </w:rPr>
          <w:fldChar w:fldCharType="end"/>
        </w:r>
      </w:hyperlink>
    </w:p>
    <w:p w14:paraId="28298C1B" w14:textId="226A13C4" w:rsidR="00B3163E" w:rsidRDefault="00B3163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63" w:history="1">
        <w:r w:rsidRPr="00221DA0">
          <w:rPr>
            <w:rStyle w:val="Hyperlink"/>
            <w:noProof/>
          </w:rPr>
          <w:t>4.4</w:t>
        </w:r>
        <w:r>
          <w:rPr>
            <w:rFonts w:asciiTheme="minorHAnsi" w:eastAsiaTheme="minorEastAsia" w:hAnsiTheme="minorHAnsi" w:cstheme="minorBidi"/>
            <w:noProof/>
            <w:color w:val="auto"/>
            <w:kern w:val="2"/>
            <w:sz w:val="24"/>
            <w:szCs w:val="24"/>
            <w:lang w:eastAsia="en-GB"/>
            <w14:ligatures w14:val="standardContextual"/>
          </w:rPr>
          <w:tab/>
        </w:r>
        <w:r w:rsidRPr="00221DA0">
          <w:rPr>
            <w:rStyle w:val="Hyperlink"/>
            <w:noProof/>
          </w:rPr>
          <w:t>Stage 3 – Communication of Decision</w:t>
        </w:r>
        <w:r>
          <w:rPr>
            <w:noProof/>
            <w:webHidden/>
          </w:rPr>
          <w:tab/>
        </w:r>
        <w:r>
          <w:rPr>
            <w:noProof/>
            <w:webHidden/>
          </w:rPr>
          <w:fldChar w:fldCharType="begin"/>
        </w:r>
        <w:r>
          <w:rPr>
            <w:noProof/>
            <w:webHidden/>
          </w:rPr>
          <w:instrText xml:space="preserve"> PAGEREF _Toc181035263 \h </w:instrText>
        </w:r>
        <w:r>
          <w:rPr>
            <w:noProof/>
            <w:webHidden/>
          </w:rPr>
        </w:r>
        <w:r>
          <w:rPr>
            <w:noProof/>
            <w:webHidden/>
          </w:rPr>
          <w:fldChar w:fldCharType="separate"/>
        </w:r>
        <w:r>
          <w:rPr>
            <w:noProof/>
            <w:webHidden/>
          </w:rPr>
          <w:t>2</w:t>
        </w:r>
        <w:r>
          <w:rPr>
            <w:noProof/>
            <w:webHidden/>
          </w:rPr>
          <w:fldChar w:fldCharType="end"/>
        </w:r>
      </w:hyperlink>
    </w:p>
    <w:p w14:paraId="5CF0BC54" w14:textId="2D9E740B" w:rsidR="00B3163E" w:rsidRDefault="00B3163E">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64" w:history="1">
        <w:r w:rsidRPr="00221DA0">
          <w:rPr>
            <w:rStyle w:val="Hyperlink"/>
            <w:noProof/>
          </w:rPr>
          <w:t>4.5</w:t>
        </w:r>
        <w:r>
          <w:rPr>
            <w:rFonts w:asciiTheme="minorHAnsi" w:eastAsiaTheme="minorEastAsia" w:hAnsiTheme="minorHAnsi" w:cstheme="minorBidi"/>
            <w:noProof/>
            <w:color w:val="auto"/>
            <w:kern w:val="2"/>
            <w:sz w:val="24"/>
            <w:szCs w:val="24"/>
            <w:lang w:eastAsia="en-GB"/>
            <w14:ligatures w14:val="standardContextual"/>
          </w:rPr>
          <w:tab/>
        </w:r>
        <w:r w:rsidRPr="00221DA0">
          <w:rPr>
            <w:rStyle w:val="Hyperlink"/>
            <w:noProof/>
          </w:rPr>
          <w:t>Appeals Procedure</w:t>
        </w:r>
        <w:r>
          <w:rPr>
            <w:noProof/>
            <w:webHidden/>
          </w:rPr>
          <w:tab/>
        </w:r>
        <w:r>
          <w:rPr>
            <w:noProof/>
            <w:webHidden/>
          </w:rPr>
          <w:fldChar w:fldCharType="begin"/>
        </w:r>
        <w:r>
          <w:rPr>
            <w:noProof/>
            <w:webHidden/>
          </w:rPr>
          <w:instrText xml:space="preserve"> PAGEREF _Toc181035264 \h </w:instrText>
        </w:r>
        <w:r>
          <w:rPr>
            <w:noProof/>
            <w:webHidden/>
          </w:rPr>
        </w:r>
        <w:r>
          <w:rPr>
            <w:noProof/>
            <w:webHidden/>
          </w:rPr>
          <w:fldChar w:fldCharType="separate"/>
        </w:r>
        <w:r>
          <w:rPr>
            <w:noProof/>
            <w:webHidden/>
          </w:rPr>
          <w:t>3</w:t>
        </w:r>
        <w:r>
          <w:rPr>
            <w:noProof/>
            <w:webHidden/>
          </w:rPr>
          <w:fldChar w:fldCharType="end"/>
        </w:r>
      </w:hyperlink>
    </w:p>
    <w:p w14:paraId="1A75B829" w14:textId="63A84E92" w:rsidR="00B3163E" w:rsidRDefault="00B3163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65" w:history="1">
        <w:r w:rsidRPr="00221DA0">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221DA0">
          <w:rPr>
            <w:rStyle w:val="Hyperlink"/>
            <w:noProof/>
          </w:rPr>
          <w:t>TEAM FLEXIBLE WORKING</w:t>
        </w:r>
        <w:r>
          <w:rPr>
            <w:noProof/>
            <w:webHidden/>
          </w:rPr>
          <w:tab/>
        </w:r>
        <w:r>
          <w:rPr>
            <w:noProof/>
            <w:webHidden/>
          </w:rPr>
          <w:fldChar w:fldCharType="begin"/>
        </w:r>
        <w:r>
          <w:rPr>
            <w:noProof/>
            <w:webHidden/>
          </w:rPr>
          <w:instrText xml:space="preserve"> PAGEREF _Toc181035265 \h </w:instrText>
        </w:r>
        <w:r>
          <w:rPr>
            <w:noProof/>
            <w:webHidden/>
          </w:rPr>
        </w:r>
        <w:r>
          <w:rPr>
            <w:noProof/>
            <w:webHidden/>
          </w:rPr>
          <w:fldChar w:fldCharType="separate"/>
        </w:r>
        <w:r>
          <w:rPr>
            <w:noProof/>
            <w:webHidden/>
          </w:rPr>
          <w:t>3</w:t>
        </w:r>
        <w:r>
          <w:rPr>
            <w:noProof/>
            <w:webHidden/>
          </w:rPr>
          <w:fldChar w:fldCharType="end"/>
        </w:r>
      </w:hyperlink>
    </w:p>
    <w:p w14:paraId="3126C7F9" w14:textId="7983FAD0" w:rsidR="00B3163E" w:rsidRDefault="00B3163E">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66" w:history="1">
        <w:r w:rsidRPr="00221DA0">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221DA0">
          <w:rPr>
            <w:rStyle w:val="Hyperlink"/>
            <w:noProof/>
          </w:rPr>
          <w:t>IMPACT ON TERMS AND CONDITIONS OF EMPLOYMENT</w:t>
        </w:r>
        <w:r>
          <w:rPr>
            <w:noProof/>
            <w:webHidden/>
          </w:rPr>
          <w:tab/>
        </w:r>
        <w:r>
          <w:rPr>
            <w:noProof/>
            <w:webHidden/>
          </w:rPr>
          <w:fldChar w:fldCharType="begin"/>
        </w:r>
        <w:r>
          <w:rPr>
            <w:noProof/>
            <w:webHidden/>
          </w:rPr>
          <w:instrText xml:space="preserve"> PAGEREF _Toc181035266 \h </w:instrText>
        </w:r>
        <w:r>
          <w:rPr>
            <w:noProof/>
            <w:webHidden/>
          </w:rPr>
        </w:r>
        <w:r>
          <w:rPr>
            <w:noProof/>
            <w:webHidden/>
          </w:rPr>
          <w:fldChar w:fldCharType="separate"/>
        </w:r>
        <w:r>
          <w:rPr>
            <w:noProof/>
            <w:webHidden/>
          </w:rPr>
          <w:t>3</w:t>
        </w:r>
        <w:r>
          <w:rPr>
            <w:noProof/>
            <w:webHidden/>
          </w:rPr>
          <w:fldChar w:fldCharType="end"/>
        </w:r>
      </w:hyperlink>
    </w:p>
    <w:p w14:paraId="2EB26687" w14:textId="37D27572" w:rsidR="00892B6F" w:rsidRDefault="00892B6F" w:rsidP="00772D30">
      <w:pPr>
        <w:pStyle w:val="Heading6"/>
        <w:numPr>
          <w:ilvl w:val="0"/>
          <w:numId w:val="0"/>
        </w:numPr>
      </w:pPr>
      <w:r>
        <w:fldChar w:fldCharType="end"/>
      </w:r>
    </w:p>
    <w:p w14:paraId="39E09BF8" w14:textId="527DDD9C" w:rsidR="00892B6F" w:rsidRPr="00D35DF3" w:rsidRDefault="00892B6F" w:rsidP="00D35DF3">
      <w:pPr>
        <w:pStyle w:val="AMainBodyText"/>
      </w:pPr>
    </w:p>
    <w:p w14:paraId="4FFE3EDC" w14:textId="77777777" w:rsidR="00866FCC" w:rsidRDefault="00866FCC" w:rsidP="00866FCC">
      <w:pPr>
        <w:pStyle w:val="AMainBodyText"/>
        <w:sectPr w:rsidR="00866FCC" w:rsidSect="007F7DFB">
          <w:headerReference w:type="default" r:id="rId20"/>
          <w:footerReference w:type="default" r:id="rId21"/>
          <w:pgSz w:w="11906" w:h="16838" w:code="9"/>
          <w:pgMar w:top="1134" w:right="1134" w:bottom="1134" w:left="1134" w:header="709" w:footer="284" w:gutter="0"/>
          <w:pgNumType w:fmt="lowerRoman" w:start="1"/>
          <w:cols w:space="708"/>
          <w:docGrid w:linePitch="360"/>
        </w:sectPr>
      </w:pPr>
    </w:p>
    <w:p w14:paraId="21C7324D" w14:textId="4E354014" w:rsidR="00FC6274" w:rsidRDefault="00FC6274" w:rsidP="00FC6274">
      <w:pPr>
        <w:pStyle w:val="Heading1"/>
        <w:numPr>
          <w:ilvl w:val="0"/>
          <w:numId w:val="4"/>
        </w:numPr>
      </w:pPr>
      <w:bookmarkStart w:id="0" w:name="_Toc181035256"/>
      <w:r>
        <w:lastRenderedPageBreak/>
        <w:t>INTRODUCTION</w:t>
      </w:r>
      <w:bookmarkEnd w:id="0"/>
    </w:p>
    <w:p w14:paraId="2EC573AD" w14:textId="2E9BE871" w:rsidR="00EA7428" w:rsidRDefault="00EA7428" w:rsidP="00F5287D">
      <w:pPr>
        <w:pStyle w:val="ListNumber"/>
      </w:pPr>
      <w:r w:rsidRPr="00EA7428">
        <w:t xml:space="preserve">The </w:t>
      </w:r>
      <w:r w:rsidR="00F5287D">
        <w:t>Company</w:t>
      </w:r>
      <w:r w:rsidRPr="00EA7428">
        <w:t xml:space="preserve"> recognises the importance of ensuring that our employees enjoy a healthy work life balance and supports the use of flexible working as one way of delivering this whilst still being able to meet the needs of the </w:t>
      </w:r>
      <w:r w:rsidR="00F5287D">
        <w:t>Company</w:t>
      </w:r>
      <w:r w:rsidRPr="00EA7428">
        <w:t xml:space="preserve">. </w:t>
      </w:r>
    </w:p>
    <w:p w14:paraId="287713A1" w14:textId="093C9909" w:rsidR="00EA7428" w:rsidRDefault="00EA7428" w:rsidP="00F5287D">
      <w:pPr>
        <w:pStyle w:val="ListNumber"/>
      </w:pPr>
      <w:r w:rsidRPr="00EA7428">
        <w:t xml:space="preserve">The </w:t>
      </w:r>
      <w:r w:rsidR="00F5287D">
        <w:t>Company</w:t>
      </w:r>
      <w:r w:rsidRPr="00EA7428">
        <w:t xml:space="preserve"> acknowledges that the use of flexible working on return from maternity, adoption or shared parental leave may be particularly helpful to strike the balance of work and family demands.  </w:t>
      </w:r>
    </w:p>
    <w:p w14:paraId="4ED8D451" w14:textId="77777777" w:rsidR="00EA7428" w:rsidRDefault="00EA7428" w:rsidP="00EA7428">
      <w:pPr>
        <w:pStyle w:val="AMainBodyText"/>
      </w:pPr>
    </w:p>
    <w:p w14:paraId="37B10BFF" w14:textId="77777777" w:rsidR="00EA7428" w:rsidRDefault="00EA7428" w:rsidP="00E444A9">
      <w:pPr>
        <w:pStyle w:val="Heading1"/>
      </w:pPr>
      <w:bookmarkStart w:id="1" w:name="_Toc181035257"/>
      <w:r w:rsidRPr="00EA7428">
        <w:t>OBJECTIVES</w:t>
      </w:r>
      <w:bookmarkEnd w:id="1"/>
    </w:p>
    <w:p w14:paraId="323E4EBF" w14:textId="77777777" w:rsidR="00EA7428" w:rsidRDefault="00EA7428" w:rsidP="00F5287D">
      <w:pPr>
        <w:pStyle w:val="ListNumber"/>
        <w:numPr>
          <w:ilvl w:val="0"/>
          <w:numId w:val="50"/>
        </w:numPr>
      </w:pPr>
      <w:r w:rsidRPr="00EA7428">
        <w:t xml:space="preserve"> The objectives of this procedure are to: </w:t>
      </w:r>
    </w:p>
    <w:p w14:paraId="45C31410" w14:textId="12556D70" w:rsidR="00EA7428" w:rsidRDefault="00EA7428" w:rsidP="00E444A9">
      <w:pPr>
        <w:pStyle w:val="ListBullet"/>
      </w:pPr>
      <w:r w:rsidRPr="00EA7428">
        <w:t xml:space="preserve">Make employees aware of their right to request flexible working; </w:t>
      </w:r>
    </w:p>
    <w:p w14:paraId="689FAA5E" w14:textId="220F97A7" w:rsidR="00EA7428" w:rsidRDefault="00EA7428" w:rsidP="00E444A9">
      <w:pPr>
        <w:pStyle w:val="ListBullet"/>
      </w:pPr>
      <w:r w:rsidRPr="00EA7428">
        <w:t xml:space="preserve">Inform employees of their rights and responsibilities in relation to requesting flexible working; </w:t>
      </w:r>
    </w:p>
    <w:p w14:paraId="51DACB7C" w14:textId="7C3AF12D" w:rsidR="00EA7428" w:rsidRDefault="00EA7428" w:rsidP="00E444A9">
      <w:pPr>
        <w:pStyle w:val="ListBullet"/>
      </w:pPr>
      <w:r w:rsidRPr="00EA7428">
        <w:t xml:space="preserve">Provide managers with an understanding of their role in the flexible working application process and their responsibilities towards employees.  </w:t>
      </w:r>
    </w:p>
    <w:p w14:paraId="608ADB2A" w14:textId="77777777" w:rsidR="00EA7428" w:rsidRDefault="00EA7428" w:rsidP="00EA7428">
      <w:pPr>
        <w:pStyle w:val="AMainBodyText"/>
      </w:pPr>
    </w:p>
    <w:p w14:paraId="60FFE4CA" w14:textId="77777777" w:rsidR="00EA7428" w:rsidRDefault="00EA7428" w:rsidP="00E444A9">
      <w:pPr>
        <w:pStyle w:val="Heading1"/>
      </w:pPr>
      <w:bookmarkStart w:id="2" w:name="_Toc181035258"/>
      <w:r w:rsidRPr="00EA7428">
        <w:t>ENTITLEMENTS &amp; ELIGIBILITY</w:t>
      </w:r>
      <w:bookmarkEnd w:id="2"/>
      <w:r w:rsidRPr="00EA7428">
        <w:t xml:space="preserve"> </w:t>
      </w:r>
    </w:p>
    <w:p w14:paraId="12860D23" w14:textId="77777777" w:rsidR="00EA7428" w:rsidRDefault="00EA7428" w:rsidP="00F5287D">
      <w:pPr>
        <w:pStyle w:val="ListNumber"/>
        <w:numPr>
          <w:ilvl w:val="0"/>
          <w:numId w:val="49"/>
        </w:numPr>
      </w:pPr>
      <w:r w:rsidRPr="00EA7428">
        <w:t xml:space="preserve">All eligible employees have a statutory right to request flexible working.  </w:t>
      </w:r>
    </w:p>
    <w:p w14:paraId="534F6697" w14:textId="77777777" w:rsidR="00EA7428" w:rsidRDefault="00EA7428" w:rsidP="00F5287D">
      <w:pPr>
        <w:pStyle w:val="ListNumber"/>
      </w:pPr>
      <w:r w:rsidRPr="00EA7428">
        <w:t xml:space="preserve">Flexible working describes any work pattern adapted to suit individual needs. Some of the more common types of flexible working are listed in Table 1 below:  </w:t>
      </w:r>
    </w:p>
    <w:p w14:paraId="5BE5F0AE" w14:textId="77777777" w:rsidR="00EA7428" w:rsidRDefault="00EA7428" w:rsidP="00EA7428">
      <w:pPr>
        <w:pStyle w:val="AMainBodyText"/>
      </w:pPr>
    </w:p>
    <w:p w14:paraId="3C72E6DB" w14:textId="60424E7F" w:rsidR="00EA7428" w:rsidRDefault="00587D44" w:rsidP="00EA7428">
      <w:pPr>
        <w:pStyle w:val="AMainBodyText"/>
      </w:pPr>
      <w:r w:rsidRPr="00587D44">
        <w:rPr>
          <w:noProof/>
        </w:rPr>
        <w:drawing>
          <wp:inline distT="0" distB="0" distL="0" distR="0" wp14:anchorId="6ACA4CA7" wp14:editId="1A297D4C">
            <wp:extent cx="6120130" cy="2716530"/>
            <wp:effectExtent l="0" t="0" r="0" b="7620"/>
            <wp:docPr id="540038332" name="Picture 1" descr="A list of work hou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38332" name="Picture 1" descr="A list of work hours&#10;&#10;Description automatically generated"/>
                    <pic:cNvPicPr/>
                  </pic:nvPicPr>
                  <pic:blipFill>
                    <a:blip r:embed="rId22"/>
                    <a:stretch>
                      <a:fillRect/>
                    </a:stretch>
                  </pic:blipFill>
                  <pic:spPr>
                    <a:xfrm>
                      <a:off x="0" y="0"/>
                      <a:ext cx="6120130" cy="2716530"/>
                    </a:xfrm>
                    <a:prstGeom prst="rect">
                      <a:avLst/>
                    </a:prstGeom>
                  </pic:spPr>
                </pic:pic>
              </a:graphicData>
            </a:graphic>
          </wp:inline>
        </w:drawing>
      </w:r>
    </w:p>
    <w:p w14:paraId="25F75148" w14:textId="77777777" w:rsidR="00EA7428" w:rsidRDefault="00EA7428" w:rsidP="00EA7428">
      <w:pPr>
        <w:pStyle w:val="AMainBodyText"/>
      </w:pPr>
    </w:p>
    <w:p w14:paraId="75146C24" w14:textId="440A9C4A" w:rsidR="00587D44" w:rsidRDefault="00EA7428" w:rsidP="00F5287D">
      <w:pPr>
        <w:pStyle w:val="ListNumber"/>
      </w:pPr>
      <w:r w:rsidRPr="00EA7428">
        <w:t xml:space="preserve">All individuals with at least 26 weeks continuous service have a statutory right to request flexible working.  </w:t>
      </w:r>
      <w:r w:rsidR="00587D44">
        <w:t xml:space="preserve"> </w:t>
      </w:r>
    </w:p>
    <w:p w14:paraId="3C9266A1" w14:textId="77F5BA80" w:rsidR="00587D44" w:rsidRDefault="00EA7428" w:rsidP="00F5287D">
      <w:pPr>
        <w:pStyle w:val="ListNumber"/>
      </w:pPr>
      <w:r w:rsidRPr="00EA7428">
        <w:t xml:space="preserve">Although individuals with less than 26 weeks service do not have a statutory right to make this request, the </w:t>
      </w:r>
      <w:r w:rsidR="00F5287D">
        <w:t>Company</w:t>
      </w:r>
      <w:r w:rsidRPr="00EA7428">
        <w:t xml:space="preserve"> appreciates that flexible working can have a positive impact on employee engagement, wellbeing and motivation. As such, there is no minimum service required to apply for flexible working.   </w:t>
      </w:r>
    </w:p>
    <w:p w14:paraId="3473DE36" w14:textId="77777777" w:rsidR="00587D44" w:rsidRDefault="00587D44" w:rsidP="00EA7428">
      <w:pPr>
        <w:pStyle w:val="AMainBodyText"/>
      </w:pPr>
    </w:p>
    <w:p w14:paraId="55386DEB" w14:textId="77777777" w:rsidR="00587D44" w:rsidRDefault="00EA7428" w:rsidP="00E444A9">
      <w:pPr>
        <w:pStyle w:val="Heading1"/>
      </w:pPr>
      <w:bookmarkStart w:id="3" w:name="_Toc181035259"/>
      <w:r w:rsidRPr="00EA7428">
        <w:t>PROCEDURE</w:t>
      </w:r>
      <w:bookmarkEnd w:id="3"/>
      <w:r w:rsidRPr="00EA7428">
        <w:t xml:space="preserve"> </w:t>
      </w:r>
    </w:p>
    <w:p w14:paraId="06A61F74" w14:textId="174168B5" w:rsidR="00587D44" w:rsidRDefault="00EA7428" w:rsidP="00E444A9">
      <w:pPr>
        <w:pStyle w:val="Heading2"/>
      </w:pPr>
      <w:bookmarkStart w:id="4" w:name="_Toc181035260"/>
      <w:r w:rsidRPr="00EA7428">
        <w:t>Application Procedure</w:t>
      </w:r>
      <w:bookmarkEnd w:id="4"/>
    </w:p>
    <w:p w14:paraId="1BA25D06" w14:textId="77777777" w:rsidR="00587D44" w:rsidRDefault="00EA7428" w:rsidP="00F5287D">
      <w:pPr>
        <w:pStyle w:val="ListNumber"/>
        <w:numPr>
          <w:ilvl w:val="0"/>
          <w:numId w:val="48"/>
        </w:numPr>
      </w:pPr>
      <w:r w:rsidRPr="00EA7428">
        <w:t xml:space="preserve"> Individuals who are considering making a flexible working request are encouraged to discuss this with their line manager as soon as possible.   </w:t>
      </w:r>
    </w:p>
    <w:p w14:paraId="69F3218D" w14:textId="77777777" w:rsidR="00587D44" w:rsidRDefault="00EA7428" w:rsidP="00F5287D">
      <w:pPr>
        <w:pStyle w:val="ListNumber"/>
      </w:pPr>
      <w:r w:rsidRPr="00EA7428">
        <w:t xml:space="preserve">The application process, inclusive of appeal, will normally be completed within 3 months of the flexible working request being made. </w:t>
      </w:r>
    </w:p>
    <w:p w14:paraId="54497D2D" w14:textId="77777777" w:rsidR="00587D44" w:rsidRDefault="00EA7428" w:rsidP="00F5287D">
      <w:pPr>
        <w:pStyle w:val="ListNumber"/>
      </w:pPr>
      <w:r w:rsidRPr="00EA7428">
        <w:t xml:space="preserve">The procedure is as follows:  </w:t>
      </w:r>
    </w:p>
    <w:p w14:paraId="0CFA3A95" w14:textId="77777777" w:rsidR="00CC4E2C" w:rsidRDefault="00CC4E2C" w:rsidP="00EA7428">
      <w:pPr>
        <w:pStyle w:val="AMainBodyText"/>
      </w:pPr>
    </w:p>
    <w:p w14:paraId="105D2A17" w14:textId="08E7D394" w:rsidR="00B41409" w:rsidRDefault="00EA7428" w:rsidP="00E444A9">
      <w:pPr>
        <w:pStyle w:val="Heading2"/>
      </w:pPr>
      <w:bookmarkStart w:id="5" w:name="_Toc181035261"/>
      <w:r w:rsidRPr="00EA7428">
        <w:t>Stage 1 – Request for Flexible Working</w:t>
      </w:r>
      <w:bookmarkEnd w:id="5"/>
      <w:r w:rsidRPr="00EA7428">
        <w:t xml:space="preserve"> </w:t>
      </w:r>
    </w:p>
    <w:p w14:paraId="63D9AE21" w14:textId="77777777" w:rsidR="00B41409" w:rsidRDefault="00EA7428" w:rsidP="00F5287D">
      <w:pPr>
        <w:pStyle w:val="ListNumber"/>
        <w:numPr>
          <w:ilvl w:val="0"/>
          <w:numId w:val="47"/>
        </w:numPr>
      </w:pPr>
      <w:r w:rsidRPr="00EA7428">
        <w:t xml:space="preserve">Individuals must complete </w:t>
      </w:r>
      <w:r w:rsidR="00B41409">
        <w:t>a form/ send an email</w:t>
      </w:r>
      <w:r w:rsidRPr="00EA7428">
        <w:t xml:space="preserve"> and return this to their line manager. </w:t>
      </w:r>
    </w:p>
    <w:p w14:paraId="06FEBBD3" w14:textId="5A87CFB2" w:rsidR="00B41409" w:rsidRDefault="00EA7428" w:rsidP="00F5287D">
      <w:pPr>
        <w:pStyle w:val="ListNumber"/>
      </w:pPr>
      <w:r w:rsidRPr="00EA7428">
        <w:t>In this form</w:t>
      </w:r>
      <w:r w:rsidR="00B41409">
        <w:t>/ email</w:t>
      </w:r>
      <w:r w:rsidRPr="00EA7428">
        <w:t>, the individual must set out the nature of the flexibility they are requesting</w:t>
      </w:r>
      <w:r w:rsidR="00E149EB">
        <w:t xml:space="preserve">.  They do not have to state how it will </w:t>
      </w:r>
      <w:r w:rsidR="00FF0D36">
        <w:t>impact the business.</w:t>
      </w:r>
    </w:p>
    <w:p w14:paraId="4101E01E" w14:textId="2737CA4A" w:rsidR="00CC4E2C" w:rsidRDefault="00EA7428" w:rsidP="00F5287D">
      <w:pPr>
        <w:pStyle w:val="ListNumber"/>
      </w:pPr>
      <w:r w:rsidRPr="00EA7428">
        <w:t xml:space="preserve">Individuals can make </w:t>
      </w:r>
      <w:r w:rsidR="00B41409">
        <w:t>2</w:t>
      </w:r>
      <w:r w:rsidRPr="00EA7428">
        <w:t xml:space="preserve"> statutory flexible working request in a twelve month period. </w:t>
      </w:r>
    </w:p>
    <w:p w14:paraId="22D48643" w14:textId="77777777" w:rsidR="00CC4E2C" w:rsidRDefault="00CC4E2C" w:rsidP="00EA7428">
      <w:pPr>
        <w:pStyle w:val="AMainBodyText"/>
      </w:pPr>
    </w:p>
    <w:p w14:paraId="36A006DA" w14:textId="3DF97C9F" w:rsidR="00C33BE8" w:rsidRDefault="00EA7428" w:rsidP="00E444A9">
      <w:pPr>
        <w:pStyle w:val="Heading2"/>
      </w:pPr>
      <w:bookmarkStart w:id="6" w:name="_Toc181035262"/>
      <w:r w:rsidRPr="00EA7428">
        <w:t>Stage 2 – Consideration of Flexible Working</w:t>
      </w:r>
      <w:r w:rsidR="00C33BE8">
        <w:t xml:space="preserve"> </w:t>
      </w:r>
      <w:r w:rsidRPr="00EA7428">
        <w:t>Request</w:t>
      </w:r>
      <w:bookmarkEnd w:id="6"/>
      <w:r w:rsidRPr="00EA7428">
        <w:t xml:space="preserve"> </w:t>
      </w:r>
    </w:p>
    <w:p w14:paraId="3A35224F" w14:textId="5DFEE878" w:rsidR="00C33BE8" w:rsidRDefault="00EA7428" w:rsidP="00F5287D">
      <w:pPr>
        <w:pStyle w:val="ListNumber"/>
        <w:numPr>
          <w:ilvl w:val="0"/>
          <w:numId w:val="46"/>
        </w:numPr>
      </w:pPr>
      <w:r w:rsidRPr="00EA7428">
        <w:t xml:space="preserve">Each request for flexible working will be dealt with on a case-by-case basis. The individual’s line manager will carefully consider the proposed flexible working arrangements, looking at the potential benefits, and challenges, to the employee and the </w:t>
      </w:r>
      <w:r w:rsidR="00F5287D">
        <w:t>Company</w:t>
      </w:r>
      <w:r w:rsidRPr="00EA7428">
        <w:t xml:space="preserve"> in implementing the proposed changes.   </w:t>
      </w:r>
    </w:p>
    <w:p w14:paraId="69FC96F0" w14:textId="77777777" w:rsidR="00C33BE8" w:rsidRDefault="00EA7428" w:rsidP="00F5287D">
      <w:pPr>
        <w:pStyle w:val="ListNumber"/>
      </w:pPr>
      <w:r w:rsidRPr="00EA7428">
        <w:t xml:space="preserve">Upon receipt of a flexible working request, the individual’s line manager will normally arrange to meet with them within 28 days to discuss the request. </w:t>
      </w:r>
    </w:p>
    <w:p w14:paraId="7E61AC47" w14:textId="77777777" w:rsidR="00221532" w:rsidRDefault="00EA7428" w:rsidP="00F5287D">
      <w:pPr>
        <w:pStyle w:val="ListNumber"/>
      </w:pPr>
      <w:r w:rsidRPr="00EA7428">
        <w:t xml:space="preserve">The purpose of this meeting will be to explore the proposed working pattern in detail and to discuss options for possible accommodation of the request. </w:t>
      </w:r>
    </w:p>
    <w:p w14:paraId="2122BA51" w14:textId="77777777" w:rsidR="00221532" w:rsidRDefault="00EA7428" w:rsidP="00F5287D">
      <w:pPr>
        <w:pStyle w:val="ListNumber"/>
      </w:pPr>
      <w:r w:rsidRPr="00EA7428">
        <w:t xml:space="preserve">The meeting will also provide an opportunity to consider alternative working arrangements should there be difficulties in accommodating the initial request. </w:t>
      </w:r>
    </w:p>
    <w:p w14:paraId="1080D83D" w14:textId="77777777" w:rsidR="00221532" w:rsidRDefault="00221532" w:rsidP="00EA7428">
      <w:pPr>
        <w:pStyle w:val="AMainBodyText"/>
      </w:pPr>
    </w:p>
    <w:p w14:paraId="2F0CAF72" w14:textId="0D0BBA95" w:rsidR="00221532" w:rsidRDefault="00EA7428" w:rsidP="00E444A9">
      <w:pPr>
        <w:pStyle w:val="Heading2"/>
      </w:pPr>
      <w:bookmarkStart w:id="7" w:name="_Toc181035263"/>
      <w:r w:rsidRPr="00EA7428">
        <w:t>Stage 3 – Communication of Decision</w:t>
      </w:r>
      <w:bookmarkEnd w:id="7"/>
      <w:r w:rsidRPr="00EA7428">
        <w:t xml:space="preserve"> </w:t>
      </w:r>
    </w:p>
    <w:p w14:paraId="2B5A21EC" w14:textId="0B18540F" w:rsidR="00604A09" w:rsidRDefault="00EA7428" w:rsidP="00F5287D">
      <w:pPr>
        <w:pStyle w:val="ListNumber"/>
        <w:numPr>
          <w:ilvl w:val="0"/>
          <w:numId w:val="45"/>
        </w:numPr>
      </w:pPr>
      <w:r w:rsidRPr="00EA7428">
        <w:t xml:space="preserve">A flexible working request may be granted in full, in part or refused if after careful consideration it is decided that the </w:t>
      </w:r>
      <w:r w:rsidR="00F5287D">
        <w:t>Company</w:t>
      </w:r>
      <w:r w:rsidRPr="00EA7428">
        <w:t xml:space="preserve"> cannot accommodate it.   </w:t>
      </w:r>
    </w:p>
    <w:p w14:paraId="5BDEF773" w14:textId="0D0385EE" w:rsidR="00E149EB" w:rsidRDefault="00EA7428" w:rsidP="00F5287D">
      <w:pPr>
        <w:pStyle w:val="ListNumber"/>
      </w:pPr>
      <w:r w:rsidRPr="00EA7428">
        <w:t>The outcome of the individual’s flexible working request will be communicated to them in writing within 14 days of the meeting with their line manager.</w:t>
      </w:r>
      <w:r w:rsidR="00604A09">
        <w:t xml:space="preserve">  If a request is </w:t>
      </w:r>
      <w:r w:rsidR="00E149EB">
        <w:t>turned down the employee must be met in advance to discuss the reasons and if any changes can be made.</w:t>
      </w:r>
    </w:p>
    <w:p w14:paraId="75F2DECE" w14:textId="77777777" w:rsidR="00943253" w:rsidRDefault="00EA7428" w:rsidP="00F5287D">
      <w:pPr>
        <w:pStyle w:val="ListNumber"/>
      </w:pPr>
      <w:r w:rsidRPr="00EA7428">
        <w:t>If a flexible working request cannot be granted, clear business reasons for this will be provided</w:t>
      </w:r>
      <w:r w:rsidR="007860F6">
        <w:t xml:space="preserve"> – however as stated a meeting will be held be</w:t>
      </w:r>
      <w:r w:rsidR="00943253">
        <w:t>fore this with the employee in person.</w:t>
      </w:r>
      <w:r w:rsidRPr="00EA7428">
        <w:t xml:space="preserve">   </w:t>
      </w:r>
    </w:p>
    <w:p w14:paraId="06E2B713" w14:textId="77777777" w:rsidR="00943253" w:rsidRDefault="00EA7428" w:rsidP="00F5287D">
      <w:pPr>
        <w:pStyle w:val="ListNumber"/>
      </w:pPr>
      <w:r w:rsidRPr="00EA7428">
        <w:t xml:space="preserve">If a request is granted, this letter will also confirm the date on which the new working pattern will become effective and whether it will be subject to a trial period.  </w:t>
      </w:r>
    </w:p>
    <w:p w14:paraId="12B3F9C0" w14:textId="275C36B4" w:rsidR="00943253" w:rsidRDefault="00EA7428" w:rsidP="00E444A9">
      <w:pPr>
        <w:pStyle w:val="Heading2"/>
      </w:pPr>
      <w:bookmarkStart w:id="8" w:name="_Toc181035264"/>
      <w:r w:rsidRPr="00EA7428">
        <w:lastRenderedPageBreak/>
        <w:t>Appeals Procedure</w:t>
      </w:r>
      <w:bookmarkEnd w:id="8"/>
      <w:r w:rsidRPr="00EA7428">
        <w:t xml:space="preserve"> </w:t>
      </w:r>
    </w:p>
    <w:p w14:paraId="63BB49B0" w14:textId="77777777" w:rsidR="00943253" w:rsidRDefault="00EA7428" w:rsidP="00F5287D">
      <w:pPr>
        <w:pStyle w:val="ListNumber"/>
        <w:numPr>
          <w:ilvl w:val="0"/>
          <w:numId w:val="44"/>
        </w:numPr>
      </w:pPr>
      <w:r w:rsidRPr="00EA7428">
        <w:t xml:space="preserve">Individuals have the right to appeal their line manager’s decision by submitting </w:t>
      </w:r>
      <w:r w:rsidR="00943253">
        <w:t>a letter</w:t>
      </w:r>
      <w:r w:rsidRPr="00EA7428">
        <w:t xml:space="preserve"> within 14 days of receiving the written decision.   </w:t>
      </w:r>
    </w:p>
    <w:p w14:paraId="5EAB506F" w14:textId="77777777" w:rsidR="00943253" w:rsidRDefault="00EA7428" w:rsidP="00F5287D">
      <w:pPr>
        <w:pStyle w:val="ListNumber"/>
      </w:pPr>
      <w:r w:rsidRPr="00EA7428">
        <w:t>An appeal meeting will normally be held within 14 days of the appeal being received. The appeal will be heard by a senior manager</w:t>
      </w:r>
      <w:r w:rsidR="00943253">
        <w:t>/ director</w:t>
      </w:r>
      <w:r w:rsidRPr="00EA7428">
        <w:t xml:space="preserve">, supported by an HR </w:t>
      </w:r>
      <w:r w:rsidR="00943253">
        <w:t>Representative</w:t>
      </w:r>
      <w:r w:rsidRPr="00EA7428">
        <w:t xml:space="preserve">. Individuals have the right to trade union representation during this meeting.   </w:t>
      </w:r>
    </w:p>
    <w:p w14:paraId="548F0FBF" w14:textId="77777777" w:rsidR="00943253" w:rsidRDefault="00EA7428" w:rsidP="00F5287D">
      <w:pPr>
        <w:pStyle w:val="ListNumber"/>
      </w:pPr>
      <w:r w:rsidRPr="00EA7428">
        <w:t xml:space="preserve">The outcome of the appeal will be communicated to the individual in writing within 14 days of this meeting. This outcome will be final and there is no provision for further appeal.  </w:t>
      </w:r>
    </w:p>
    <w:p w14:paraId="5698E6B0" w14:textId="77777777" w:rsidR="00943253" w:rsidRDefault="00943253" w:rsidP="00EA7428">
      <w:pPr>
        <w:pStyle w:val="AMainBodyText"/>
      </w:pPr>
    </w:p>
    <w:p w14:paraId="44C66E73" w14:textId="06CCFAA2" w:rsidR="00943253" w:rsidRDefault="00EA7428" w:rsidP="00E444A9">
      <w:pPr>
        <w:pStyle w:val="Heading1"/>
      </w:pPr>
      <w:bookmarkStart w:id="9" w:name="_Toc181035265"/>
      <w:r w:rsidRPr="00EA7428">
        <w:t>TEAM FLEXIBLE WORKING</w:t>
      </w:r>
      <w:bookmarkEnd w:id="9"/>
      <w:r w:rsidRPr="00EA7428">
        <w:t xml:space="preserve"> </w:t>
      </w:r>
    </w:p>
    <w:p w14:paraId="7AA8DB4B" w14:textId="77777777" w:rsidR="00943253" w:rsidRDefault="00EA7428" w:rsidP="00F5287D">
      <w:pPr>
        <w:pStyle w:val="ListNumber"/>
        <w:numPr>
          <w:ilvl w:val="0"/>
          <w:numId w:val="43"/>
        </w:numPr>
      </w:pPr>
      <w:r w:rsidRPr="00EA7428">
        <w:t xml:space="preserve">Line managers can consider flexible working arrangements across their team as well as responding to individual requests. </w:t>
      </w:r>
    </w:p>
    <w:p w14:paraId="6AC417EF" w14:textId="77777777" w:rsidR="00943253" w:rsidRDefault="00EA7428" w:rsidP="00F5287D">
      <w:pPr>
        <w:pStyle w:val="ListNumber"/>
      </w:pPr>
      <w:r w:rsidRPr="00EA7428">
        <w:t xml:space="preserve">Any proposed flexible working arrangement will be discussed with all members of the team and individuals will have the right to remain on their normal working pattern if they wish.    </w:t>
      </w:r>
    </w:p>
    <w:p w14:paraId="7A3A174F" w14:textId="77777777" w:rsidR="00943253" w:rsidRDefault="00EA7428" w:rsidP="00F5287D">
      <w:pPr>
        <w:pStyle w:val="ListNumber"/>
      </w:pPr>
      <w:r w:rsidRPr="00EA7428">
        <w:t xml:space="preserve">Where flexible working is initiated by a manager and agreed by individuals, a trial period will take place to assess the suitability of the altered working patterns. </w:t>
      </w:r>
    </w:p>
    <w:p w14:paraId="277BF210" w14:textId="77777777" w:rsidR="00943253" w:rsidRDefault="00EA7428" w:rsidP="00F5287D">
      <w:pPr>
        <w:pStyle w:val="ListNumber"/>
      </w:pPr>
      <w:r w:rsidRPr="00EA7428">
        <w:t xml:space="preserve">Any agreed changes will then result in permanent changes to the individuals’ terms and conditions. </w:t>
      </w:r>
    </w:p>
    <w:p w14:paraId="377EB625" w14:textId="77777777" w:rsidR="009520F9" w:rsidRDefault="00EA7428" w:rsidP="00F5287D">
      <w:pPr>
        <w:pStyle w:val="ListNumber"/>
      </w:pPr>
      <w:r w:rsidRPr="00EA7428">
        <w:t xml:space="preserve">Where a team approach is agreed, individuals are not required to </w:t>
      </w:r>
      <w:r w:rsidR="009520F9">
        <w:t>apply</w:t>
      </w:r>
      <w:r w:rsidRPr="00EA7428">
        <w:t>.</w:t>
      </w:r>
    </w:p>
    <w:p w14:paraId="14CD30C3" w14:textId="77777777" w:rsidR="009520F9" w:rsidRDefault="009520F9" w:rsidP="00EA7428">
      <w:pPr>
        <w:pStyle w:val="AMainBodyText"/>
      </w:pPr>
    </w:p>
    <w:p w14:paraId="3A1CEA62" w14:textId="1C931167" w:rsidR="009520F9" w:rsidRDefault="00EA7428" w:rsidP="00E444A9">
      <w:pPr>
        <w:pStyle w:val="Heading1"/>
      </w:pPr>
      <w:r w:rsidRPr="00EA7428">
        <w:t xml:space="preserve"> </w:t>
      </w:r>
      <w:bookmarkStart w:id="10" w:name="_Toc181035266"/>
      <w:r w:rsidRPr="00EA7428">
        <w:t>IMPACT ON TERMS AND CONDITIONS OF EMPLOYMENT</w:t>
      </w:r>
      <w:bookmarkEnd w:id="10"/>
      <w:r w:rsidRPr="00EA7428">
        <w:t xml:space="preserve"> </w:t>
      </w:r>
    </w:p>
    <w:p w14:paraId="7F6266ED" w14:textId="55730F40" w:rsidR="00EA7428" w:rsidRDefault="00EA7428" w:rsidP="00F5287D">
      <w:pPr>
        <w:pStyle w:val="ListNumber"/>
        <w:numPr>
          <w:ilvl w:val="0"/>
          <w:numId w:val="42"/>
        </w:numPr>
      </w:pPr>
      <w:r w:rsidRPr="00EA7428">
        <w:t xml:space="preserve">Any agreed formal flexible working request will result in a permanent change to the individual’s terms and conditions of employment.  </w:t>
      </w:r>
    </w:p>
    <w:p w14:paraId="71E37119" w14:textId="77777777" w:rsidR="00EA7428" w:rsidRDefault="00EA7428" w:rsidP="00EA7428">
      <w:pPr>
        <w:pStyle w:val="AMainBodyText"/>
      </w:pPr>
    </w:p>
    <w:p w14:paraId="1A4D83FD" w14:textId="77777777" w:rsidR="00EA7428" w:rsidRPr="00EA7428" w:rsidRDefault="00EA7428" w:rsidP="00EA7428">
      <w:pPr>
        <w:pStyle w:val="AMainBodyText"/>
      </w:pPr>
    </w:p>
    <w:p w14:paraId="73E655DB" w14:textId="77777777" w:rsidR="00E03430" w:rsidRDefault="00E03430" w:rsidP="00E03430">
      <w:pPr>
        <w:pStyle w:val="ListNumber"/>
        <w:numPr>
          <w:ilvl w:val="0"/>
          <w:numId w:val="0"/>
        </w:numPr>
        <w:ind w:left="720" w:hanging="720"/>
      </w:pPr>
      <w:bookmarkStart w:id="11" w:name="LastPage"/>
    </w:p>
    <w:bookmarkEnd w:id="11"/>
    <w:p w14:paraId="2FB54F37" w14:textId="77777777" w:rsidR="00866FCC" w:rsidRDefault="00866FCC" w:rsidP="00866FCC">
      <w:pPr>
        <w:pStyle w:val="AMainBodyText"/>
        <w:sectPr w:rsidR="00866FCC" w:rsidSect="00EE1F5C">
          <w:headerReference w:type="default" r:id="rId23"/>
          <w:footerReference w:type="default" r:id="rId24"/>
          <w:pgSz w:w="11906" w:h="16838" w:code="9"/>
          <w:pgMar w:top="1134" w:right="1134" w:bottom="1134" w:left="1134" w:header="709" w:footer="284" w:gutter="0"/>
          <w:pgNumType w:start="1" w:chapStyle="7"/>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2754869" w14:textId="77777777" w:rsidTr="00213709">
        <w:trPr>
          <w:trHeight w:val="1412"/>
        </w:trPr>
        <w:tc>
          <w:tcPr>
            <w:tcW w:w="9628" w:type="dxa"/>
          </w:tcPr>
          <w:p w14:paraId="59ACBA56" w14:textId="354BB498" w:rsidR="00213709" w:rsidRDefault="00025C98" w:rsidP="00213709">
            <w:pPr>
              <w:pStyle w:val="AMainBodyText"/>
            </w:pPr>
            <w:r>
              <w:rPr>
                <w:noProof/>
              </w:rPr>
              <w:drawing>
                <wp:inline distT="0" distB="0" distL="0" distR="0" wp14:anchorId="345C0DC0" wp14:editId="7346C1AA">
                  <wp:extent cx="1019175" cy="1019175"/>
                  <wp:effectExtent l="0" t="0" r="9525" b="9525"/>
                  <wp:docPr id="12817609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760987" name="Picture 1281760987"/>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tc>
      </w:tr>
      <w:tr w:rsidR="00213709" w14:paraId="42825518" w14:textId="77777777" w:rsidTr="00213709">
        <w:tc>
          <w:tcPr>
            <w:tcW w:w="9628" w:type="dxa"/>
          </w:tcPr>
          <w:p w14:paraId="7867D5CF" w14:textId="1765D37E" w:rsidR="00213709" w:rsidRDefault="00DD07F3" w:rsidP="00213709">
            <w:pPr>
              <w:pStyle w:val="ABackCoverStandardText"/>
              <w:framePr w:wrap="auto" w:vAnchor="margin" w:hAnchor="text" w:yAlign="inline"/>
              <w:suppressOverlap w:val="0"/>
            </w:pPr>
            <w:fldSimple w:instr=" DocProperty &quot;Company&quot; ">
              <w:r w:rsidR="00B3163E">
                <w:t>Calforth Construction Ltd</w:t>
              </w:r>
            </w:fldSimple>
          </w:p>
        </w:tc>
      </w:tr>
      <w:tr w:rsidR="00213709" w14:paraId="3C207201" w14:textId="77777777" w:rsidTr="00213709">
        <w:tc>
          <w:tcPr>
            <w:tcW w:w="9628" w:type="dxa"/>
          </w:tcPr>
          <w:p w14:paraId="1D074CF7" w14:textId="1FA366B3" w:rsidR="00213709" w:rsidRDefault="00DD07F3" w:rsidP="00213709">
            <w:pPr>
              <w:pStyle w:val="ABackCoverStandardText"/>
              <w:framePr w:wrap="auto" w:vAnchor="margin" w:hAnchor="text" w:yAlign="inline"/>
              <w:suppressOverlap w:val="0"/>
            </w:pPr>
            <w:fldSimple w:instr=" DocProperty &quot;cpCompanyAddress&quot; ">
              <w:r w:rsidR="00B3163E">
                <w:t>Buchan House, Quarry Road</w:t>
              </w:r>
            </w:fldSimple>
          </w:p>
        </w:tc>
      </w:tr>
      <w:tr w:rsidR="00213709" w14:paraId="113B038E" w14:textId="77777777" w:rsidTr="00213709">
        <w:tc>
          <w:tcPr>
            <w:tcW w:w="9628" w:type="dxa"/>
          </w:tcPr>
          <w:p w14:paraId="43C254C6" w14:textId="6AF5DF27" w:rsidR="00213709" w:rsidRDefault="00DD07F3" w:rsidP="00213709">
            <w:pPr>
              <w:pStyle w:val="ABackCoverStandardText"/>
              <w:framePr w:wrap="auto" w:vAnchor="margin" w:hAnchor="text" w:yAlign="inline"/>
              <w:suppressOverlap w:val="0"/>
            </w:pPr>
            <w:fldSimple w:instr=" DocProperty &quot;CpCompanyCity&quot; ">
              <w:r w:rsidR="00B3163E">
                <w:t>Aberdeen</w:t>
              </w:r>
            </w:fldSimple>
          </w:p>
        </w:tc>
      </w:tr>
      <w:tr w:rsidR="00213709" w14:paraId="558C54A0" w14:textId="77777777" w:rsidTr="00213709">
        <w:tc>
          <w:tcPr>
            <w:tcW w:w="9628" w:type="dxa"/>
          </w:tcPr>
          <w:p w14:paraId="200406F9" w14:textId="1C067C0A" w:rsidR="00213709" w:rsidRDefault="00DD07F3" w:rsidP="00213709">
            <w:pPr>
              <w:pStyle w:val="ABackCoverStandardText"/>
              <w:framePr w:wrap="auto" w:vAnchor="margin" w:hAnchor="text" w:yAlign="inline"/>
              <w:suppressOverlap w:val="0"/>
            </w:pPr>
            <w:fldSimple w:instr=" DocProperty &quot;CpCompanyPostcode&quot; ">
              <w:r w:rsidR="00B3163E">
                <w:t>AB16 5UU</w:t>
              </w:r>
            </w:fldSimple>
          </w:p>
        </w:tc>
      </w:tr>
      <w:tr w:rsidR="00213709" w14:paraId="5F6FB7E7" w14:textId="77777777" w:rsidTr="00213709">
        <w:trPr>
          <w:trHeight w:val="1058"/>
        </w:trPr>
        <w:tc>
          <w:tcPr>
            <w:tcW w:w="9628" w:type="dxa"/>
          </w:tcPr>
          <w:p w14:paraId="0397539F" w14:textId="77777777" w:rsidR="00213709" w:rsidRDefault="00213709" w:rsidP="00213709">
            <w:pPr>
              <w:pStyle w:val="AMainBodyText"/>
            </w:pPr>
          </w:p>
        </w:tc>
      </w:tr>
    </w:tbl>
    <w:p w14:paraId="5BEEFB26" w14:textId="77777777" w:rsidR="00866FCC" w:rsidRPr="00A6304B" w:rsidRDefault="00866FCC" w:rsidP="00213709">
      <w:pPr>
        <w:pStyle w:val="AHeaderSeperator"/>
      </w:pPr>
    </w:p>
    <w:sectPr w:rsidR="00866FCC" w:rsidRPr="00A6304B" w:rsidSect="008A4146">
      <w:headerReference w:type="default" r:id="rId26"/>
      <w:footerReference w:type="default" r:id="rId27"/>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96937" w14:textId="77777777" w:rsidR="00CD5A7C" w:rsidRDefault="00CD5A7C" w:rsidP="00A6304B">
      <w:r>
        <w:separator/>
      </w:r>
    </w:p>
  </w:endnote>
  <w:endnote w:type="continuationSeparator" w:id="0">
    <w:p w14:paraId="556A13C7" w14:textId="77777777" w:rsidR="00CD5A7C" w:rsidRDefault="00CD5A7C" w:rsidP="00A6304B">
      <w:r>
        <w:continuationSeparator/>
      </w:r>
    </w:p>
  </w:endnote>
  <w:endnote w:type="continuationNotice" w:id="1">
    <w:p w14:paraId="20355748" w14:textId="77777777" w:rsidR="00A0106C" w:rsidRDefault="00A01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73E93" w14:textId="77777777" w:rsidR="003753F2" w:rsidRDefault="003753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5D1AF" w14:textId="77777777" w:rsidR="003753F2" w:rsidRDefault="003753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2874B" w14:textId="77777777" w:rsidR="003753F2" w:rsidRDefault="003753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091E120" w14:textId="77777777" w:rsidTr="007F7DFB">
      <w:tc>
        <w:tcPr>
          <w:tcW w:w="3544" w:type="dxa"/>
        </w:tcPr>
        <w:p w14:paraId="17C5CCEA" w14:textId="77777777" w:rsidR="00866FCC" w:rsidRPr="00FC7B99" w:rsidRDefault="00866FCC" w:rsidP="008A4146">
          <w:pPr>
            <w:pStyle w:val="AHeaderFooterLeft"/>
          </w:pPr>
        </w:p>
      </w:tc>
      <w:tc>
        <w:tcPr>
          <w:tcW w:w="5103" w:type="dxa"/>
        </w:tcPr>
        <w:p w14:paraId="1A52FCA9" w14:textId="77777777" w:rsidR="00866FCC" w:rsidRPr="00FC7B99" w:rsidRDefault="00866FCC" w:rsidP="008A4146">
          <w:pPr>
            <w:pStyle w:val="AHeaderFooterCentre"/>
          </w:pPr>
        </w:p>
      </w:tc>
      <w:tc>
        <w:tcPr>
          <w:tcW w:w="992" w:type="dxa"/>
        </w:tcPr>
        <w:p w14:paraId="7CB39617" w14:textId="77777777" w:rsidR="00866FCC" w:rsidRPr="00FC7B99" w:rsidRDefault="00866FCC" w:rsidP="008A4146">
          <w:pPr>
            <w:pStyle w:val="AHeaderFooterRight"/>
          </w:pPr>
        </w:p>
      </w:tc>
    </w:tr>
    <w:tr w:rsidR="007F7DFB" w:rsidRPr="00FC7B99" w14:paraId="6DB18683" w14:textId="77777777" w:rsidTr="001F77F0">
      <w:trPr>
        <w:trHeight w:val="568"/>
      </w:trPr>
      <w:tc>
        <w:tcPr>
          <w:tcW w:w="8647" w:type="dxa"/>
          <w:gridSpan w:val="2"/>
        </w:tcPr>
        <w:p w14:paraId="47764A56" w14:textId="1C436834" w:rsidR="007F7DFB" w:rsidRPr="00FC7B99" w:rsidRDefault="00DD07F3" w:rsidP="007F7DFB">
          <w:pPr>
            <w:pStyle w:val="AHeaderFooterLeft"/>
          </w:pPr>
          <w:fldSimple w:instr=" DocProperty &quot;Title&quot; ">
            <w:r w:rsidR="00B3163E">
              <w:t>CAL-HR-PSHR-0030</w:t>
            </w:r>
          </w:fldSimple>
          <w:r w:rsidR="007F7DFB">
            <w:t xml:space="preserve"> </w:t>
          </w:r>
          <w:fldSimple w:instr=" DocProperty &quot;Subject&quot; ">
            <w:r w:rsidR="00B3163E">
              <w:t>Flexible Working</w:t>
            </w:r>
          </w:fldSimple>
          <w:r w:rsidR="007F7DFB">
            <w:t xml:space="preserve"> Issue:</w:t>
          </w:r>
          <w:fldSimple w:instr=" DocProperty &quot;cpRevision&quot; ">
            <w:r w:rsidR="00B3163E">
              <w:t>01</w:t>
            </w:r>
          </w:fldSimple>
        </w:p>
      </w:tc>
      <w:tc>
        <w:tcPr>
          <w:tcW w:w="992" w:type="dxa"/>
        </w:tcPr>
        <w:p w14:paraId="200EAA8C"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4E823EA2"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EE1F5C" w:rsidRPr="00FC7B99" w14:paraId="25D205CB" w14:textId="77777777" w:rsidTr="0007200A">
      <w:tc>
        <w:tcPr>
          <w:tcW w:w="3544" w:type="dxa"/>
        </w:tcPr>
        <w:p w14:paraId="617A7BC8" w14:textId="77777777" w:rsidR="00EE1F5C" w:rsidRPr="00FC7B99" w:rsidRDefault="00EE1F5C" w:rsidP="001C3D5F">
          <w:pPr>
            <w:pStyle w:val="AHeaderFooterLeft"/>
          </w:pPr>
        </w:p>
      </w:tc>
      <w:tc>
        <w:tcPr>
          <w:tcW w:w="5103" w:type="dxa"/>
        </w:tcPr>
        <w:p w14:paraId="32EBA191" w14:textId="77777777" w:rsidR="00EE1F5C" w:rsidRPr="00FC7B99" w:rsidRDefault="00EE1F5C" w:rsidP="001C3D5F">
          <w:pPr>
            <w:pStyle w:val="AHeaderFooterCentre"/>
          </w:pPr>
        </w:p>
      </w:tc>
      <w:tc>
        <w:tcPr>
          <w:tcW w:w="992" w:type="dxa"/>
        </w:tcPr>
        <w:p w14:paraId="14A1FF76" w14:textId="77777777" w:rsidR="00EE1F5C" w:rsidRPr="00FC7B99" w:rsidRDefault="00EE1F5C" w:rsidP="001C3D5F">
          <w:pPr>
            <w:pStyle w:val="AHeaderFooterRight"/>
          </w:pPr>
        </w:p>
      </w:tc>
    </w:tr>
    <w:tr w:rsidR="00EE1F5C" w:rsidRPr="00FC7B99" w14:paraId="42C5F789" w14:textId="77777777" w:rsidTr="0007200A">
      <w:trPr>
        <w:trHeight w:val="568"/>
      </w:trPr>
      <w:tc>
        <w:tcPr>
          <w:tcW w:w="8647" w:type="dxa"/>
          <w:gridSpan w:val="2"/>
        </w:tcPr>
        <w:p w14:paraId="053511DE" w14:textId="12AE9BEC" w:rsidR="00EE1F5C" w:rsidRPr="00FC7B99" w:rsidRDefault="00DD07F3" w:rsidP="001C3D5F">
          <w:pPr>
            <w:pStyle w:val="AHeaderFooterLeft"/>
          </w:pPr>
          <w:fldSimple w:instr=" DocProperty &quot;Title&quot; ">
            <w:r w:rsidR="00B3163E">
              <w:t>CAL-HR-PSHR-0030</w:t>
            </w:r>
          </w:fldSimple>
          <w:r w:rsidR="00EE1F5C">
            <w:t xml:space="preserve"> </w:t>
          </w:r>
          <w:fldSimple w:instr=" DocProperty &quot;Subject&quot; ">
            <w:r w:rsidR="00B3163E">
              <w:t>Flexible Working</w:t>
            </w:r>
          </w:fldSimple>
          <w:r w:rsidR="00EE1F5C">
            <w:t xml:space="preserve"> Issue:</w:t>
          </w:r>
          <w:fldSimple w:instr=" DocProperty &quot;cpRevision&quot; ">
            <w:r w:rsidR="00B3163E">
              <w:t>01</w:t>
            </w:r>
          </w:fldSimple>
        </w:p>
      </w:tc>
      <w:tc>
        <w:tcPr>
          <w:tcW w:w="992" w:type="dxa"/>
        </w:tcPr>
        <w:p w14:paraId="5FFB324F" w14:textId="77777777" w:rsidR="00EE1F5C" w:rsidRPr="007F7DFB" w:rsidRDefault="00EE1F5C"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w:t>
          </w:r>
        </w:p>
      </w:tc>
    </w:tr>
  </w:tbl>
  <w:p w14:paraId="3FB61FC2" w14:textId="77777777" w:rsidR="00EE1F5C" w:rsidRPr="00FC7B99" w:rsidRDefault="00EE1F5C"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7C38F"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4EFA4" w14:textId="77777777" w:rsidR="00CD5A7C" w:rsidRDefault="00CD5A7C" w:rsidP="00A6304B">
      <w:r>
        <w:separator/>
      </w:r>
    </w:p>
  </w:footnote>
  <w:footnote w:type="continuationSeparator" w:id="0">
    <w:p w14:paraId="26934F7B" w14:textId="77777777" w:rsidR="00CD5A7C" w:rsidRDefault="00CD5A7C" w:rsidP="00A6304B">
      <w:r>
        <w:continuationSeparator/>
      </w:r>
    </w:p>
  </w:footnote>
  <w:footnote w:type="continuationNotice" w:id="1">
    <w:p w14:paraId="67041FE8" w14:textId="77777777" w:rsidR="00A0106C" w:rsidRDefault="00A01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FC15F" w14:textId="77777777" w:rsidR="003753F2" w:rsidRDefault="003753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D5E29" w14:textId="77777777" w:rsidR="003753F2" w:rsidRDefault="003753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53B04" w14:textId="77777777" w:rsidR="003753F2" w:rsidRDefault="003753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79CA9CB3" w14:textId="77777777" w:rsidTr="001666EA">
      <w:trPr>
        <w:trHeight w:val="1276"/>
        <w:jc w:val="center"/>
      </w:trPr>
      <w:sdt>
        <w:sdtPr>
          <w:alias w:val="ccLogo"/>
          <w:tag w:val="ccHeaders"/>
          <w:id w:val="-720748982"/>
          <w:picture/>
        </w:sdtPr>
        <w:sdtEndPr/>
        <w:sdtContent>
          <w:tc>
            <w:tcPr>
              <w:tcW w:w="2268" w:type="dxa"/>
            </w:tcPr>
            <w:p w14:paraId="0481555C" w14:textId="77777777" w:rsidR="00866FCC" w:rsidRDefault="009E46EF">
              <w:pPr>
                <w:pStyle w:val="Header"/>
              </w:pPr>
              <w:r>
                <w:rPr>
                  <w:noProof/>
                </w:rPr>
                <w:drawing>
                  <wp:inline distT="0" distB="0" distL="0" distR="0" wp14:anchorId="61471478" wp14:editId="7EE92438">
                    <wp:extent cx="1321237" cy="720000"/>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1321237" cy="720000"/>
                            </a:xfrm>
                            <a:prstGeom prst="rect">
                              <a:avLst/>
                            </a:prstGeom>
                            <a:noFill/>
                            <a:ln>
                              <a:noFill/>
                            </a:ln>
                          </pic:spPr>
                        </pic:pic>
                      </a:graphicData>
                    </a:graphic>
                  </wp:inline>
                </w:drawing>
              </w:r>
            </w:p>
          </w:tc>
        </w:sdtContent>
      </w:sdt>
      <w:tc>
        <w:tcPr>
          <w:tcW w:w="5103" w:type="dxa"/>
        </w:tcPr>
        <w:p w14:paraId="70B456ED" w14:textId="09161CA5" w:rsidR="00866FCC" w:rsidRDefault="00DD07F3" w:rsidP="001666EA">
          <w:pPr>
            <w:pStyle w:val="AHeaderFooterCentre"/>
          </w:pPr>
          <w:fldSimple w:instr=" DocProperty &quot;Title&quot; ">
            <w:r w:rsidR="00B3163E">
              <w:t>CAL-HR-PSHR-0030</w:t>
            </w:r>
          </w:fldSimple>
          <w:r w:rsidR="00866FCC">
            <w:t>-</w:t>
          </w:r>
          <w:fldSimple w:instr=" DocProperty &quot;Subject&quot; ">
            <w:r w:rsidR="00B3163E">
              <w:t>Flexible Working</w:t>
            </w:r>
          </w:fldSimple>
        </w:p>
      </w:tc>
      <w:tc>
        <w:tcPr>
          <w:tcW w:w="2268" w:type="dxa"/>
        </w:tcPr>
        <w:p w14:paraId="5177BE41" w14:textId="77777777" w:rsidR="00866FCC" w:rsidRDefault="00866FCC">
          <w:pPr>
            <w:pStyle w:val="Header"/>
          </w:pPr>
        </w:p>
      </w:tc>
    </w:tr>
  </w:tbl>
  <w:p w14:paraId="6CEA7E1A"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EE1F5C" w14:paraId="0996FA01" w14:textId="77777777" w:rsidTr="001666EA">
      <w:trPr>
        <w:trHeight w:val="1276"/>
        <w:jc w:val="center"/>
      </w:trPr>
      <w:sdt>
        <w:sdtPr>
          <w:alias w:val="ccLogo"/>
          <w:tag w:val="ccHeaders"/>
          <w:id w:val="520747830"/>
          <w:picture/>
        </w:sdtPr>
        <w:sdtEndPr/>
        <w:sdtContent>
          <w:tc>
            <w:tcPr>
              <w:tcW w:w="2268" w:type="dxa"/>
            </w:tcPr>
            <w:p w14:paraId="238516E6" w14:textId="21C103B4" w:rsidR="00EE1F5C" w:rsidRDefault="00DD07F3">
              <w:pPr>
                <w:pStyle w:val="Header"/>
              </w:pPr>
              <w:r>
                <w:rPr>
                  <w:noProof/>
                </w:rPr>
                <w:drawing>
                  <wp:inline distT="0" distB="0" distL="0" distR="0" wp14:anchorId="04B7C1D9" wp14:editId="49887064">
                    <wp:extent cx="1440000" cy="416508"/>
                    <wp:effectExtent l="0" t="0" r="0" b="3175"/>
                    <wp:docPr id="1714735254" name="Picture 4"/>
                    <wp:cNvGraphicFramePr/>
                    <a:graphic xmlns:a="http://schemas.openxmlformats.org/drawingml/2006/main">
                      <a:graphicData uri="http://schemas.openxmlformats.org/drawingml/2006/picture">
                        <pic:pic xmlns:pic="http://schemas.openxmlformats.org/drawingml/2006/picture">
                          <pic:nvPicPr>
                            <pic:cNvPr id="171473525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3CC4CC5" w14:textId="01F71B7D" w:rsidR="00EE1F5C" w:rsidRDefault="00DD07F3" w:rsidP="001666EA">
          <w:pPr>
            <w:pStyle w:val="AHeaderFooterCentre"/>
          </w:pPr>
          <w:fldSimple w:instr=" DocProperty &quot;Title&quot; ">
            <w:r w:rsidR="00B3163E">
              <w:t>CAL-HR-PSHR-0030</w:t>
            </w:r>
          </w:fldSimple>
          <w:r w:rsidR="00EE1F5C">
            <w:t>-</w:t>
          </w:r>
          <w:fldSimple w:instr=" DocProperty &quot;Subject&quot; ">
            <w:r w:rsidR="00B3163E">
              <w:t>Flexible Working</w:t>
            </w:r>
          </w:fldSimple>
        </w:p>
      </w:tc>
      <w:tc>
        <w:tcPr>
          <w:tcW w:w="2268" w:type="dxa"/>
        </w:tcPr>
        <w:p w14:paraId="0FAA0BE5" w14:textId="77777777" w:rsidR="00EE1F5C" w:rsidRDefault="00EE1F5C">
          <w:pPr>
            <w:pStyle w:val="Header"/>
          </w:pPr>
        </w:p>
      </w:tc>
    </w:tr>
  </w:tbl>
  <w:p w14:paraId="0001B97B" w14:textId="77777777" w:rsidR="00EE1F5C" w:rsidRDefault="00EE1F5C" w:rsidP="001666EA">
    <w:pPr>
      <w:pStyle w:val="AHeaderSeperato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8EC4"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B61B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F05E38"/>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F610818E"/>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884A2B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2C0640FE"/>
    <w:lvl w:ilvl="0">
      <w:start w:val="1"/>
      <w:numFmt w:val="decimal"/>
      <w:lvlText w:val="%1."/>
      <w:lvlJc w:val="left"/>
      <w:pPr>
        <w:tabs>
          <w:tab w:val="num" w:pos="360"/>
        </w:tabs>
        <w:ind w:left="360" w:hanging="360"/>
      </w:pPr>
    </w:lvl>
  </w:abstractNum>
  <w:abstractNum w:abstractNumId="5"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6"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1230530232">
    <w:abstractNumId w:val="7"/>
  </w:num>
  <w:num w:numId="2" w16cid:durableId="1524051030">
    <w:abstractNumId w:val="5"/>
  </w:num>
  <w:num w:numId="3" w16cid:durableId="2009363951">
    <w:abstractNumId w:val="6"/>
  </w:num>
  <w:num w:numId="4" w16cid:durableId="985283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277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5359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09176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09152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1072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9748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855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1053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3182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588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434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0022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2093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41924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5295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2994576">
    <w:abstractNumId w:val="4"/>
  </w:num>
  <w:num w:numId="21" w16cid:durableId="1471051756">
    <w:abstractNumId w:val="3"/>
  </w:num>
  <w:num w:numId="22" w16cid:durableId="1636373982">
    <w:abstractNumId w:val="2"/>
  </w:num>
  <w:num w:numId="23" w16cid:durableId="556430717">
    <w:abstractNumId w:val="1"/>
  </w:num>
  <w:num w:numId="24" w16cid:durableId="1594007">
    <w:abstractNumId w:val="0"/>
  </w:num>
  <w:num w:numId="25" w16cid:durableId="1423262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35247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8841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1231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6566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2995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82349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2640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5872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9656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6238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4350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9280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6431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15443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001116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810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8767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55288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818457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7030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35523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1931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32331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013370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909651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A7C"/>
    <w:rsid w:val="00025C98"/>
    <w:rsid w:val="000274B6"/>
    <w:rsid w:val="00041476"/>
    <w:rsid w:val="00075279"/>
    <w:rsid w:val="000A0C7F"/>
    <w:rsid w:val="000E62AF"/>
    <w:rsid w:val="00135E5E"/>
    <w:rsid w:val="001666EA"/>
    <w:rsid w:val="001B6ADE"/>
    <w:rsid w:val="001C14F8"/>
    <w:rsid w:val="001C3D5F"/>
    <w:rsid w:val="001C3E86"/>
    <w:rsid w:val="00213709"/>
    <w:rsid w:val="00221532"/>
    <w:rsid w:val="002316EB"/>
    <w:rsid w:val="00234B56"/>
    <w:rsid w:val="00237FA4"/>
    <w:rsid w:val="0027373A"/>
    <w:rsid w:val="002753E0"/>
    <w:rsid w:val="002A012B"/>
    <w:rsid w:val="002A08E1"/>
    <w:rsid w:val="002B21B8"/>
    <w:rsid w:val="002D1360"/>
    <w:rsid w:val="003129B5"/>
    <w:rsid w:val="00317154"/>
    <w:rsid w:val="00360BB0"/>
    <w:rsid w:val="0037019F"/>
    <w:rsid w:val="0037531A"/>
    <w:rsid w:val="003753F2"/>
    <w:rsid w:val="00376A3B"/>
    <w:rsid w:val="003829F5"/>
    <w:rsid w:val="003937A3"/>
    <w:rsid w:val="00393BFD"/>
    <w:rsid w:val="003A294E"/>
    <w:rsid w:val="003B27F6"/>
    <w:rsid w:val="003C0617"/>
    <w:rsid w:val="003D2B92"/>
    <w:rsid w:val="003D4112"/>
    <w:rsid w:val="003D71E0"/>
    <w:rsid w:val="00402161"/>
    <w:rsid w:val="00410DD9"/>
    <w:rsid w:val="00414E5E"/>
    <w:rsid w:val="00417DFB"/>
    <w:rsid w:val="0042775A"/>
    <w:rsid w:val="00455633"/>
    <w:rsid w:val="004D23D1"/>
    <w:rsid w:val="00505340"/>
    <w:rsid w:val="00514AD9"/>
    <w:rsid w:val="00515B70"/>
    <w:rsid w:val="005368CC"/>
    <w:rsid w:val="00552FB9"/>
    <w:rsid w:val="00554832"/>
    <w:rsid w:val="00555663"/>
    <w:rsid w:val="00566E5C"/>
    <w:rsid w:val="005703B9"/>
    <w:rsid w:val="00582754"/>
    <w:rsid w:val="00587D44"/>
    <w:rsid w:val="005A0B53"/>
    <w:rsid w:val="005A544B"/>
    <w:rsid w:val="00604A09"/>
    <w:rsid w:val="006720FB"/>
    <w:rsid w:val="00675E9E"/>
    <w:rsid w:val="00683A25"/>
    <w:rsid w:val="006940CD"/>
    <w:rsid w:val="0069758C"/>
    <w:rsid w:val="006A67F3"/>
    <w:rsid w:val="006B03D4"/>
    <w:rsid w:val="006F4F8F"/>
    <w:rsid w:val="00703A04"/>
    <w:rsid w:val="0070720C"/>
    <w:rsid w:val="00713B8E"/>
    <w:rsid w:val="00722589"/>
    <w:rsid w:val="0075022C"/>
    <w:rsid w:val="0075785F"/>
    <w:rsid w:val="00772D30"/>
    <w:rsid w:val="00784287"/>
    <w:rsid w:val="007860F6"/>
    <w:rsid w:val="00795597"/>
    <w:rsid w:val="007A6E5D"/>
    <w:rsid w:val="007B45CE"/>
    <w:rsid w:val="007C07FC"/>
    <w:rsid w:val="007C2906"/>
    <w:rsid w:val="007F7DFB"/>
    <w:rsid w:val="00802E30"/>
    <w:rsid w:val="0083001B"/>
    <w:rsid w:val="008459E9"/>
    <w:rsid w:val="00866FCC"/>
    <w:rsid w:val="00882821"/>
    <w:rsid w:val="00892B6F"/>
    <w:rsid w:val="008A4146"/>
    <w:rsid w:val="008C2449"/>
    <w:rsid w:val="008C4EFC"/>
    <w:rsid w:val="008D1022"/>
    <w:rsid w:val="008D2924"/>
    <w:rsid w:val="008E412C"/>
    <w:rsid w:val="009003C3"/>
    <w:rsid w:val="009366F2"/>
    <w:rsid w:val="00943253"/>
    <w:rsid w:val="00950686"/>
    <w:rsid w:val="009520F9"/>
    <w:rsid w:val="00990DE2"/>
    <w:rsid w:val="009A67C0"/>
    <w:rsid w:val="009E4495"/>
    <w:rsid w:val="009E46EF"/>
    <w:rsid w:val="009E79A7"/>
    <w:rsid w:val="009F7CAB"/>
    <w:rsid w:val="00A0106C"/>
    <w:rsid w:val="00A11585"/>
    <w:rsid w:val="00A278A5"/>
    <w:rsid w:val="00A3220E"/>
    <w:rsid w:val="00A6304B"/>
    <w:rsid w:val="00A95C87"/>
    <w:rsid w:val="00AA37A9"/>
    <w:rsid w:val="00AA7635"/>
    <w:rsid w:val="00AB402C"/>
    <w:rsid w:val="00AC0500"/>
    <w:rsid w:val="00AE0658"/>
    <w:rsid w:val="00B03CF6"/>
    <w:rsid w:val="00B06664"/>
    <w:rsid w:val="00B17F2E"/>
    <w:rsid w:val="00B241BF"/>
    <w:rsid w:val="00B3163E"/>
    <w:rsid w:val="00B3580E"/>
    <w:rsid w:val="00B41409"/>
    <w:rsid w:val="00B55FD8"/>
    <w:rsid w:val="00B952FE"/>
    <w:rsid w:val="00BA09F8"/>
    <w:rsid w:val="00BA5971"/>
    <w:rsid w:val="00BC4A21"/>
    <w:rsid w:val="00BE58D0"/>
    <w:rsid w:val="00BF44B2"/>
    <w:rsid w:val="00C23696"/>
    <w:rsid w:val="00C2625F"/>
    <w:rsid w:val="00C33BE8"/>
    <w:rsid w:val="00C50999"/>
    <w:rsid w:val="00C63BDC"/>
    <w:rsid w:val="00C835C2"/>
    <w:rsid w:val="00C97D4C"/>
    <w:rsid w:val="00CA1880"/>
    <w:rsid w:val="00CA21FD"/>
    <w:rsid w:val="00CC4E2C"/>
    <w:rsid w:val="00CD5A7C"/>
    <w:rsid w:val="00D10EC6"/>
    <w:rsid w:val="00D3521A"/>
    <w:rsid w:val="00D35DF3"/>
    <w:rsid w:val="00D51412"/>
    <w:rsid w:val="00D86BA3"/>
    <w:rsid w:val="00DD07F3"/>
    <w:rsid w:val="00DE03A2"/>
    <w:rsid w:val="00E03430"/>
    <w:rsid w:val="00E149EB"/>
    <w:rsid w:val="00E154FC"/>
    <w:rsid w:val="00E206DC"/>
    <w:rsid w:val="00E356F9"/>
    <w:rsid w:val="00E444A9"/>
    <w:rsid w:val="00E60A83"/>
    <w:rsid w:val="00E728B9"/>
    <w:rsid w:val="00EA7428"/>
    <w:rsid w:val="00ED3F96"/>
    <w:rsid w:val="00EE1F5C"/>
    <w:rsid w:val="00EF5999"/>
    <w:rsid w:val="00F325B5"/>
    <w:rsid w:val="00F4077F"/>
    <w:rsid w:val="00F436F4"/>
    <w:rsid w:val="00F504C4"/>
    <w:rsid w:val="00F5287D"/>
    <w:rsid w:val="00F52984"/>
    <w:rsid w:val="00F675CB"/>
    <w:rsid w:val="00F831B7"/>
    <w:rsid w:val="00F84322"/>
    <w:rsid w:val="00FA4345"/>
    <w:rsid w:val="00FA6919"/>
    <w:rsid w:val="00FA6DF9"/>
    <w:rsid w:val="00FB2ADE"/>
    <w:rsid w:val="00FC057C"/>
    <w:rsid w:val="00FC6274"/>
    <w:rsid w:val="00FC7B99"/>
    <w:rsid w:val="00FD446D"/>
    <w:rsid w:val="00FD7B43"/>
    <w:rsid w:val="00FE3300"/>
    <w:rsid w:val="00FF0D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3B43C"/>
  <w15:chartTrackingRefBased/>
  <w15:docId w15:val="{53E741E3-AC46-43F5-8DDA-79357D53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892B6F"/>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7C2906"/>
    <w:pPr>
      <w:spacing w:before="60" w:after="60"/>
    </w:pPr>
    <w:rPr>
      <w:rFonts w:asciiTheme="minorHAnsi" w:hAnsiTheme="minorHAnsi"/>
      <w:b/>
      <w:color w:val="000099" w:themeColor="accent5"/>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Index2">
    <w:name w:val="index 2"/>
    <w:basedOn w:val="Normal"/>
    <w:next w:val="Normal"/>
    <w:autoRedefine/>
    <w:uiPriority w:val="99"/>
    <w:unhideWhenUsed/>
    <w:rsid w:val="006720FB"/>
    <w:pPr>
      <w:ind w:left="440" w:hanging="220"/>
    </w:pPr>
  </w:style>
  <w:style w:type="paragraph" w:styleId="Index3">
    <w:name w:val="index 3"/>
    <w:basedOn w:val="Normal"/>
    <w:next w:val="Normal"/>
    <w:autoRedefine/>
    <w:uiPriority w:val="99"/>
    <w:unhideWhenUsed/>
    <w:rsid w:val="00703A04"/>
    <w:pPr>
      <w:ind w:left="660" w:hanging="220"/>
    </w:pPr>
  </w:style>
  <w:style w:type="paragraph" w:styleId="Index1">
    <w:name w:val="index 1"/>
    <w:basedOn w:val="Normal"/>
    <w:next w:val="Normal"/>
    <w:autoRedefine/>
    <w:uiPriority w:val="99"/>
    <w:unhideWhenUsed/>
    <w:rsid w:val="00703A04"/>
    <w:pPr>
      <w:ind w:left="220" w:hanging="220"/>
    </w:pPr>
  </w:style>
  <w:style w:type="character" w:styleId="UnresolvedMention">
    <w:name w:val="Unresolved Mention"/>
    <w:basedOn w:val="DefaultParagraphFont"/>
    <w:uiPriority w:val="99"/>
    <w:semiHidden/>
    <w:unhideWhenUsed/>
    <w:rsid w:val="00772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footer" Target="footer6.xml"/></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2-PolicyTemplateWithAppendix.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D71EF-934D-40B3-8E78-CA4BB0B68C46}">
  <ds:schemaRefs>
    <ds:schemaRef ds:uri="http://schemas.microsoft.com/sharepoint/v3/contenttype/forms"/>
  </ds:schemaRefs>
</ds:datastoreItem>
</file>

<file path=customXml/itemProps2.xml><?xml version="1.0" encoding="utf-8"?>
<ds:datastoreItem xmlns:ds="http://schemas.openxmlformats.org/officeDocument/2006/customXml" ds:itemID="{7AD643BC-11EE-4767-8396-12C50BA5A0D7}">
  <ds:schemaRefs>
    <ds:schemaRef ds:uri="http://schemas.openxmlformats.org/officeDocument/2006/bibliography"/>
  </ds:schemaRefs>
</ds:datastoreItem>
</file>

<file path=customXml/itemProps3.xml><?xml version="1.0" encoding="utf-8"?>
<ds:datastoreItem xmlns:ds="http://schemas.openxmlformats.org/officeDocument/2006/customXml" ds:itemID="{DF456679-856A-4E8F-A498-0E9FBEFD2493}">
  <ds:schemaRefs>
    <ds:schemaRef ds:uri="http://schemas.openxmlformats.org/package/2006/metadata/core-properties"/>
    <ds:schemaRef ds:uri="http://purl.org/dc/dcmitype/"/>
    <ds:schemaRef ds:uri="http://schemas.microsoft.com/office/2006/metadata/properties"/>
    <ds:schemaRef ds:uri="http://www.w3.org/XML/1998/namespace"/>
    <ds:schemaRef ds:uri="494463d7-a150-4157-98e7-6f3078a7b388"/>
    <ds:schemaRef ds:uri="http://purl.org/dc/elements/1.1/"/>
    <ds:schemaRef ds:uri="http://schemas.microsoft.com/office/2006/documentManagement/types"/>
    <ds:schemaRef ds:uri="503c78ab-065d-407b-aab1-dce0e809da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5C84251A-8868-43CD-A5AD-1C776B521E6D}"/>
</file>

<file path=docProps/app.xml><?xml version="1.0" encoding="utf-8"?>
<Properties xmlns="http://schemas.openxmlformats.org/officeDocument/2006/extended-properties" xmlns:vt="http://schemas.openxmlformats.org/officeDocument/2006/docPropsVTypes">
  <Template>M2S-TEM-P-0002-PolicyTemplateWithAppendix.dotm</Template>
  <TotalTime>22</TotalTime>
  <Pages>7</Pages>
  <Words>1213</Words>
  <Characters>6309</Characters>
  <Application>Microsoft Office Word</Application>
  <DocSecurity>0</DocSecurity>
  <Lines>242</Lines>
  <Paragraphs>127</Paragraphs>
  <ScaleCrop>false</ScaleCrop>
  <HeadingPairs>
    <vt:vector size="2" baseType="variant">
      <vt:variant>
        <vt:lpstr>Title</vt:lpstr>
      </vt:variant>
      <vt:variant>
        <vt:i4>1</vt:i4>
      </vt:variant>
    </vt:vector>
  </HeadingPairs>
  <TitlesOfParts>
    <vt:vector size="1" baseType="lpstr">
      <vt:lpstr>M2S-HR-PSHR-0030</vt:lpstr>
    </vt:vector>
  </TitlesOfParts>
  <Manager>Director</Manager>
  <Company>Calforth Construction Ltd</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CAL-HR-PSHR-0030</dc:title>
  <dc:subject>Flexible Working</dc:subject>
  <dc:creator>Fraser Morrison</dc:creator>
  <cp:keywords/>
  <dc:description/>
  <cp:lastModifiedBy>Fraser Morrison | M2Safety</cp:lastModifiedBy>
  <cp:revision>22</cp:revision>
  <dcterms:created xsi:type="dcterms:W3CDTF">2023-08-07T10:27:00Z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Ron Murray CMIOSH ICIOB</vt:lpwstr>
  </property>
  <property fmtid="{D5CDD505-2E9C-101B-9397-08002B2CF9AE}" pid="17" name="cpAdvisor1Mobile">
    <vt:lpwstr>07714 220203</vt:lpwstr>
  </property>
  <property fmtid="{D5CDD505-2E9C-101B-9397-08002B2CF9AE}" pid="18" name="cpAdvisor1Title">
    <vt:lpwstr>Managing Director</vt:lpwstr>
  </property>
  <property fmtid="{D5CDD505-2E9C-101B-9397-08002B2CF9AE}" pid="19" name="cpAdvisorCompany">
    <vt:lpwstr>M2 Safety Consultants Limited</vt:lpwstr>
  </property>
  <property fmtid="{D5CDD505-2E9C-101B-9397-08002B2CF9AE}" pid="20" name="cpAdvisorAddress">
    <vt:lpwstr>Buchan House, Quarry Road, Northfield</vt:lpwstr>
  </property>
  <property fmtid="{D5CDD505-2E9C-101B-9397-08002B2CF9AE}" pid="21" name="cpAdvisorCity">
    <vt:lpwstr>Aberdeen</vt:lpwstr>
  </property>
  <property fmtid="{D5CDD505-2E9C-101B-9397-08002B2CF9AE}" pid="22" name="cpAdvisorPostCode">
    <vt:lpwstr>AB16 5UU</vt:lpwstr>
  </property>
  <property fmtid="{D5CDD505-2E9C-101B-9397-08002B2CF9AE}" pid="23" name="cpAdvisor2Name">
    <vt:lpwstr>Fraser Morrison CMIOSH</vt:lpwstr>
  </property>
  <property fmtid="{D5CDD505-2E9C-101B-9397-08002B2CF9AE}" pid="24" name="cpAdvisor2Title">
    <vt:lpwstr>Director</vt:lpwstr>
  </property>
  <property fmtid="{D5CDD505-2E9C-101B-9397-08002B2CF9AE}" pid="25" name="cpAdvisor2Mobile">
    <vt:lpwstr>07714 220204</vt:lpwstr>
  </property>
  <property fmtid="{D5CDD505-2E9C-101B-9397-08002B2CF9AE}" pid="26" name="ContentTypeId">
    <vt:lpwstr>0x010100F3BA380F8CA56D40AA458A2520D14394</vt:lpwstr>
  </property>
  <property fmtid="{D5CDD505-2E9C-101B-9397-08002B2CF9AE}" pid="27" name="MediaServiceImageTags">
    <vt:lpwstr/>
  </property>
</Properties>
</file>