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3DD8C8E" w:rsidR="0075785F" w:rsidRDefault="00927C30" w:rsidP="00866FCC">
                <w:pPr>
                  <w:pStyle w:val="AMainBodyText"/>
                </w:pPr>
                <w:r>
                  <w:rPr>
                    <w:noProof/>
                  </w:rPr>
                  <w:drawing>
                    <wp:inline distT="0" distB="0" distL="0" distR="0" wp14:anchorId="6565D0FE" wp14:editId="40759A87">
                      <wp:extent cx="2340000" cy="676825"/>
                      <wp:effectExtent l="0" t="0" r="3175" b="9525"/>
                      <wp:docPr id="2060857001" name="Picture 1"/>
                      <wp:cNvGraphicFramePr/>
                      <a:graphic xmlns:a="http://schemas.openxmlformats.org/drawingml/2006/main">
                        <a:graphicData uri="http://schemas.openxmlformats.org/drawingml/2006/picture">
                          <pic:pic xmlns:pic="http://schemas.openxmlformats.org/drawingml/2006/picture">
                            <pic:nvPicPr>
                              <pic:cNvPr id="206085700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901D03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049F4">
              <w:rPr>
                <w:b/>
                <w:bCs/>
                <w:color w:val="4472C4" w:themeColor="text2"/>
                <w:sz w:val="44"/>
                <w:szCs w:val="44"/>
              </w:rPr>
              <w:t>CAL-HS-PD-1020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4F9DA53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049F4">
              <w:rPr>
                <w:b/>
                <w:bCs/>
                <w:color w:val="4472C4" w:themeColor="text2"/>
                <w:sz w:val="44"/>
                <w:szCs w:val="44"/>
              </w:rPr>
              <w:t>Accident Reporting &amp; Investigation</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39D39C74"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0049F4">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74DA3587"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049F4">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483CD02F"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049F4">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454301" w14:paraId="3B7D230E" w14:textId="77777777" w:rsidTr="00454301">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CB5F4CD" w14:textId="77777777" w:rsidR="00454301" w:rsidRDefault="00454301">
            <w:pPr>
              <w:pStyle w:val="AControlHeaderLeft"/>
              <w:rPr>
                <w:lang w:eastAsia="en-US"/>
              </w:rPr>
            </w:pPr>
            <w:r>
              <w:rPr>
                <w:lang w:eastAsia="en-US"/>
              </w:rPr>
              <w:lastRenderedPageBreak/>
              <w:t>Document Control</w:t>
            </w:r>
          </w:p>
        </w:tc>
      </w:tr>
      <w:tr w:rsidR="00454301" w14:paraId="6FE0D21C" w14:textId="77777777" w:rsidTr="00454301">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AB6ADF9" w14:textId="77777777" w:rsidR="00454301" w:rsidRDefault="00454301">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CF3C9" w14:textId="77777777" w:rsidR="00454301" w:rsidRDefault="00454301">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61470E" w14:textId="77777777" w:rsidR="00454301" w:rsidRDefault="00454301">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FA02D" w14:textId="29A3B8CC" w:rsidR="00454301" w:rsidRDefault="00B42BAC">
            <w:pPr>
              <w:pStyle w:val="ATableBodyLeft"/>
            </w:pPr>
            <w:fldSimple w:instr=" DocProperty &quot;cpIssueDate&quot; ">
              <w:r w:rsidR="000049F4">
                <w:t>28 Oct 2024</w:t>
              </w:r>
            </w:fldSimple>
          </w:p>
        </w:tc>
      </w:tr>
    </w:tbl>
    <w:p w14:paraId="1EE96E5D" w14:textId="77777777" w:rsidR="00454301" w:rsidRDefault="00454301" w:rsidP="00454301">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454301" w14:paraId="1A2ABAB3" w14:textId="77777777" w:rsidTr="009A0E2F">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C3BB8BA" w14:textId="77777777" w:rsidR="00454301" w:rsidRDefault="00454301">
            <w:pPr>
              <w:pStyle w:val="AControlHeaderLeft"/>
              <w:rPr>
                <w:lang w:eastAsia="en-US"/>
              </w:rPr>
            </w:pPr>
            <w:r>
              <w:rPr>
                <w:lang w:eastAsia="en-US"/>
              </w:rPr>
              <w:t>Approval / Acceptance</w:t>
            </w:r>
          </w:p>
        </w:tc>
      </w:tr>
      <w:tr w:rsidR="00454301" w14:paraId="220430E3" w14:textId="77777777" w:rsidTr="009A0E2F">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44913B4" w14:textId="77777777" w:rsidR="00454301" w:rsidRDefault="00454301">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285E6D0" w14:textId="77777777" w:rsidR="00454301" w:rsidRDefault="00454301">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5F48E4E" w14:textId="77777777" w:rsidR="00454301" w:rsidRDefault="00454301">
            <w:pPr>
              <w:pStyle w:val="AControlHeader"/>
              <w:rPr>
                <w:lang w:eastAsia="en-US"/>
              </w:rPr>
            </w:pPr>
            <w:r>
              <w:rPr>
                <w:lang w:eastAsia="en-US"/>
              </w:rPr>
              <w:t>Approved</w:t>
            </w:r>
          </w:p>
        </w:tc>
      </w:tr>
      <w:tr w:rsidR="009A0E2F" w14:paraId="28E049B9" w14:textId="77777777" w:rsidTr="009A0E2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5D4332F" w14:textId="77777777" w:rsidR="009A0E2F" w:rsidRDefault="009A0E2F" w:rsidP="009A0E2F">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BC46D4" w14:textId="104F1E29" w:rsidR="009A0E2F" w:rsidRDefault="009A0E2F" w:rsidP="009A0E2F">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5E1B2" w14:textId="77777777" w:rsidR="009A0E2F" w:rsidRDefault="009A0E2F" w:rsidP="009A0E2F">
            <w:pPr>
              <w:pStyle w:val="ATableBodyLeft"/>
            </w:pPr>
          </w:p>
        </w:tc>
      </w:tr>
      <w:tr w:rsidR="009A0E2F" w14:paraId="295A25A4" w14:textId="77777777" w:rsidTr="009A0E2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7912CD" w14:textId="77777777" w:rsidR="009A0E2F" w:rsidRDefault="009A0E2F" w:rsidP="009A0E2F">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31F16" w14:textId="559B9BF1" w:rsidR="009A0E2F" w:rsidRDefault="009A0E2F" w:rsidP="009A0E2F">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C55F4" w14:textId="77777777" w:rsidR="009A0E2F" w:rsidRDefault="009A0E2F" w:rsidP="009A0E2F">
            <w:pPr>
              <w:pStyle w:val="ATableBodyLeft"/>
            </w:pPr>
          </w:p>
        </w:tc>
      </w:tr>
      <w:tr w:rsidR="009A0E2F" w14:paraId="5901A8C6" w14:textId="77777777" w:rsidTr="009A0E2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262E0AB" w14:textId="77777777" w:rsidR="009A0E2F" w:rsidRDefault="009A0E2F" w:rsidP="009A0E2F">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51BCAA" w14:textId="00A95F4B" w:rsidR="009A0E2F" w:rsidRDefault="009A0E2F" w:rsidP="009A0E2F">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F969C" w14:textId="77777777" w:rsidR="009A0E2F" w:rsidRDefault="009A0E2F" w:rsidP="009A0E2F">
            <w:pPr>
              <w:pStyle w:val="ATableBodyLeft"/>
            </w:pPr>
          </w:p>
        </w:tc>
      </w:tr>
      <w:tr w:rsidR="00454301" w14:paraId="25E7FB29" w14:textId="77777777" w:rsidTr="009A0E2F">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FB4A66C" w14:textId="77777777" w:rsidR="00454301" w:rsidRDefault="00454301">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6145B1" w14:textId="45E667A2" w:rsidR="00454301" w:rsidRDefault="00454301">
                <w:pPr>
                  <w:pStyle w:val="ATableBodyLeft"/>
                  <w:rPr>
                    <w:noProof/>
                  </w:rPr>
                </w:pPr>
                <w:r>
                  <w:rPr>
                    <w:noProof/>
                  </w:rPr>
                  <w:drawing>
                    <wp:inline distT="0" distB="0" distL="0" distR="0" wp14:anchorId="6313E145" wp14:editId="56D1B3AA">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B6393" w14:textId="77777777" w:rsidR="00454301" w:rsidRDefault="00454301">
            <w:pPr>
              <w:pStyle w:val="ATableBodyLeft"/>
            </w:pPr>
          </w:p>
        </w:tc>
      </w:tr>
      <w:tr w:rsidR="00454301" w14:paraId="65712578" w14:textId="77777777" w:rsidTr="009A0E2F">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F9B1801" w14:textId="77777777" w:rsidR="00454301" w:rsidRDefault="00454301">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4BC7A" w14:textId="443F72D2" w:rsidR="00454301" w:rsidRDefault="00B42BAC">
            <w:pPr>
              <w:pStyle w:val="ATableBodyLeft"/>
            </w:pPr>
            <w:fldSimple w:instr=" DocProperty &quot;cpAmendedDate&quot; ">
              <w:r w:rsidR="000049F4">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EF4D31" w14:textId="77777777" w:rsidR="00454301" w:rsidRDefault="00454301">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893676D" w14:textId="4CFE7557" w:rsidR="000049F4"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646" w:history="1">
        <w:r w:rsidR="000049F4" w:rsidRPr="00A7244B">
          <w:rPr>
            <w:rStyle w:val="Hyperlink"/>
            <w:noProof/>
          </w:rPr>
          <w:t>1.0</w:t>
        </w:r>
        <w:r w:rsidR="000049F4">
          <w:rPr>
            <w:rFonts w:asciiTheme="minorHAnsi" w:eastAsiaTheme="minorEastAsia" w:hAnsiTheme="minorHAnsi" w:cstheme="minorBidi"/>
            <w:bCs w:val="0"/>
            <w:noProof/>
            <w:color w:val="auto"/>
            <w:kern w:val="2"/>
            <w:szCs w:val="24"/>
            <w:lang w:eastAsia="en-GB"/>
            <w14:ligatures w14:val="standardContextual"/>
          </w:rPr>
          <w:tab/>
        </w:r>
        <w:r w:rsidR="000049F4" w:rsidRPr="00A7244B">
          <w:rPr>
            <w:rStyle w:val="Hyperlink"/>
            <w:noProof/>
          </w:rPr>
          <w:t>SCOPE</w:t>
        </w:r>
        <w:r w:rsidR="000049F4">
          <w:rPr>
            <w:noProof/>
            <w:webHidden/>
          </w:rPr>
          <w:tab/>
        </w:r>
        <w:r w:rsidR="000049F4">
          <w:rPr>
            <w:noProof/>
            <w:webHidden/>
          </w:rPr>
          <w:fldChar w:fldCharType="begin"/>
        </w:r>
        <w:r w:rsidR="000049F4">
          <w:rPr>
            <w:noProof/>
            <w:webHidden/>
          </w:rPr>
          <w:instrText xml:space="preserve"> PAGEREF _Toc181035646 \h </w:instrText>
        </w:r>
        <w:r w:rsidR="000049F4">
          <w:rPr>
            <w:noProof/>
            <w:webHidden/>
          </w:rPr>
        </w:r>
        <w:r w:rsidR="000049F4">
          <w:rPr>
            <w:noProof/>
            <w:webHidden/>
          </w:rPr>
          <w:fldChar w:fldCharType="separate"/>
        </w:r>
        <w:r w:rsidR="000049F4">
          <w:rPr>
            <w:noProof/>
            <w:webHidden/>
          </w:rPr>
          <w:t>1</w:t>
        </w:r>
        <w:r w:rsidR="000049F4">
          <w:rPr>
            <w:noProof/>
            <w:webHidden/>
          </w:rPr>
          <w:fldChar w:fldCharType="end"/>
        </w:r>
      </w:hyperlink>
    </w:p>
    <w:p w14:paraId="29F3ACDF" w14:textId="348BF3D8"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7" w:history="1">
        <w:r w:rsidRPr="00A7244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REPORTING</w:t>
        </w:r>
        <w:r>
          <w:rPr>
            <w:noProof/>
            <w:webHidden/>
          </w:rPr>
          <w:tab/>
        </w:r>
        <w:r>
          <w:rPr>
            <w:noProof/>
            <w:webHidden/>
          </w:rPr>
          <w:fldChar w:fldCharType="begin"/>
        </w:r>
        <w:r>
          <w:rPr>
            <w:noProof/>
            <w:webHidden/>
          </w:rPr>
          <w:instrText xml:space="preserve"> PAGEREF _Toc181035647 \h </w:instrText>
        </w:r>
        <w:r>
          <w:rPr>
            <w:noProof/>
            <w:webHidden/>
          </w:rPr>
        </w:r>
        <w:r>
          <w:rPr>
            <w:noProof/>
            <w:webHidden/>
          </w:rPr>
          <w:fldChar w:fldCharType="separate"/>
        </w:r>
        <w:r>
          <w:rPr>
            <w:noProof/>
            <w:webHidden/>
          </w:rPr>
          <w:t>1</w:t>
        </w:r>
        <w:r>
          <w:rPr>
            <w:noProof/>
            <w:webHidden/>
          </w:rPr>
          <w:fldChar w:fldCharType="end"/>
        </w:r>
      </w:hyperlink>
    </w:p>
    <w:p w14:paraId="043BAC8D" w14:textId="36A62546"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8" w:history="1">
        <w:r w:rsidRPr="00A7244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SEVERITY, ROLES AND REPORTING TIMES</w:t>
        </w:r>
        <w:r>
          <w:rPr>
            <w:noProof/>
            <w:webHidden/>
          </w:rPr>
          <w:tab/>
        </w:r>
        <w:r>
          <w:rPr>
            <w:noProof/>
            <w:webHidden/>
          </w:rPr>
          <w:fldChar w:fldCharType="begin"/>
        </w:r>
        <w:r>
          <w:rPr>
            <w:noProof/>
            <w:webHidden/>
          </w:rPr>
          <w:instrText xml:space="preserve"> PAGEREF _Toc181035648 \h </w:instrText>
        </w:r>
        <w:r>
          <w:rPr>
            <w:noProof/>
            <w:webHidden/>
          </w:rPr>
        </w:r>
        <w:r>
          <w:rPr>
            <w:noProof/>
            <w:webHidden/>
          </w:rPr>
          <w:fldChar w:fldCharType="separate"/>
        </w:r>
        <w:r>
          <w:rPr>
            <w:noProof/>
            <w:webHidden/>
          </w:rPr>
          <w:t>2</w:t>
        </w:r>
        <w:r>
          <w:rPr>
            <w:noProof/>
            <w:webHidden/>
          </w:rPr>
          <w:fldChar w:fldCharType="end"/>
        </w:r>
      </w:hyperlink>
    </w:p>
    <w:p w14:paraId="00573FEB" w14:textId="3948A84F"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9" w:history="1">
        <w:r w:rsidRPr="00A7244B">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CORRECTIVE ACTIONS AND REPORTS</w:t>
        </w:r>
        <w:r>
          <w:rPr>
            <w:noProof/>
            <w:webHidden/>
          </w:rPr>
          <w:tab/>
        </w:r>
        <w:r>
          <w:rPr>
            <w:noProof/>
            <w:webHidden/>
          </w:rPr>
          <w:fldChar w:fldCharType="begin"/>
        </w:r>
        <w:r>
          <w:rPr>
            <w:noProof/>
            <w:webHidden/>
          </w:rPr>
          <w:instrText xml:space="preserve"> PAGEREF _Toc181035649 \h </w:instrText>
        </w:r>
        <w:r>
          <w:rPr>
            <w:noProof/>
            <w:webHidden/>
          </w:rPr>
        </w:r>
        <w:r>
          <w:rPr>
            <w:noProof/>
            <w:webHidden/>
          </w:rPr>
          <w:fldChar w:fldCharType="separate"/>
        </w:r>
        <w:r>
          <w:rPr>
            <w:noProof/>
            <w:webHidden/>
          </w:rPr>
          <w:t>2</w:t>
        </w:r>
        <w:r>
          <w:rPr>
            <w:noProof/>
            <w:webHidden/>
          </w:rPr>
          <w:fldChar w:fldCharType="end"/>
        </w:r>
      </w:hyperlink>
    </w:p>
    <w:p w14:paraId="2E3BD1AB" w14:textId="3E886382" w:rsidR="000049F4" w:rsidRDefault="000049F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50" w:history="1">
        <w:r w:rsidRPr="00A7244B">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A7244B">
          <w:rPr>
            <w:rStyle w:val="Hyperlink"/>
            <w:noProof/>
          </w:rPr>
          <w:t>Minor (Low to Medium):</w:t>
        </w:r>
        <w:r>
          <w:rPr>
            <w:noProof/>
            <w:webHidden/>
          </w:rPr>
          <w:tab/>
        </w:r>
        <w:r>
          <w:rPr>
            <w:noProof/>
            <w:webHidden/>
          </w:rPr>
          <w:fldChar w:fldCharType="begin"/>
        </w:r>
        <w:r>
          <w:rPr>
            <w:noProof/>
            <w:webHidden/>
          </w:rPr>
          <w:instrText xml:space="preserve"> PAGEREF _Toc181035650 \h </w:instrText>
        </w:r>
        <w:r>
          <w:rPr>
            <w:noProof/>
            <w:webHidden/>
          </w:rPr>
        </w:r>
        <w:r>
          <w:rPr>
            <w:noProof/>
            <w:webHidden/>
          </w:rPr>
          <w:fldChar w:fldCharType="separate"/>
        </w:r>
        <w:r>
          <w:rPr>
            <w:noProof/>
            <w:webHidden/>
          </w:rPr>
          <w:t>2</w:t>
        </w:r>
        <w:r>
          <w:rPr>
            <w:noProof/>
            <w:webHidden/>
          </w:rPr>
          <w:fldChar w:fldCharType="end"/>
        </w:r>
      </w:hyperlink>
    </w:p>
    <w:p w14:paraId="47E768E9" w14:textId="22D60795" w:rsidR="000049F4" w:rsidRDefault="000049F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51" w:history="1">
        <w:r w:rsidRPr="00A7244B">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A7244B">
          <w:rPr>
            <w:rStyle w:val="Hyperlink"/>
            <w:noProof/>
          </w:rPr>
          <w:t>Major (medium to high)</w:t>
        </w:r>
        <w:r>
          <w:rPr>
            <w:noProof/>
            <w:webHidden/>
          </w:rPr>
          <w:tab/>
        </w:r>
        <w:r>
          <w:rPr>
            <w:noProof/>
            <w:webHidden/>
          </w:rPr>
          <w:fldChar w:fldCharType="begin"/>
        </w:r>
        <w:r>
          <w:rPr>
            <w:noProof/>
            <w:webHidden/>
          </w:rPr>
          <w:instrText xml:space="preserve"> PAGEREF _Toc181035651 \h </w:instrText>
        </w:r>
        <w:r>
          <w:rPr>
            <w:noProof/>
            <w:webHidden/>
          </w:rPr>
        </w:r>
        <w:r>
          <w:rPr>
            <w:noProof/>
            <w:webHidden/>
          </w:rPr>
          <w:fldChar w:fldCharType="separate"/>
        </w:r>
        <w:r>
          <w:rPr>
            <w:noProof/>
            <w:webHidden/>
          </w:rPr>
          <w:t>3</w:t>
        </w:r>
        <w:r>
          <w:rPr>
            <w:noProof/>
            <w:webHidden/>
          </w:rPr>
          <w:fldChar w:fldCharType="end"/>
        </w:r>
      </w:hyperlink>
    </w:p>
    <w:p w14:paraId="13B08811" w14:textId="7410C856"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2" w:history="1">
        <w:r w:rsidRPr="00A7244B">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WELFARE OF INJURED PERSON</w:t>
        </w:r>
        <w:r>
          <w:rPr>
            <w:noProof/>
            <w:webHidden/>
          </w:rPr>
          <w:tab/>
        </w:r>
        <w:r>
          <w:rPr>
            <w:noProof/>
            <w:webHidden/>
          </w:rPr>
          <w:fldChar w:fldCharType="begin"/>
        </w:r>
        <w:r>
          <w:rPr>
            <w:noProof/>
            <w:webHidden/>
          </w:rPr>
          <w:instrText xml:space="preserve"> PAGEREF _Toc181035652 \h </w:instrText>
        </w:r>
        <w:r>
          <w:rPr>
            <w:noProof/>
            <w:webHidden/>
          </w:rPr>
        </w:r>
        <w:r>
          <w:rPr>
            <w:noProof/>
            <w:webHidden/>
          </w:rPr>
          <w:fldChar w:fldCharType="separate"/>
        </w:r>
        <w:r>
          <w:rPr>
            <w:noProof/>
            <w:webHidden/>
          </w:rPr>
          <w:t>3</w:t>
        </w:r>
        <w:r>
          <w:rPr>
            <w:noProof/>
            <w:webHidden/>
          </w:rPr>
          <w:fldChar w:fldCharType="end"/>
        </w:r>
      </w:hyperlink>
    </w:p>
    <w:p w14:paraId="7660AA59" w14:textId="58E16A15"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3" w:history="1">
        <w:r w:rsidRPr="00A7244B">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LEGAL PRIVILEGE</w:t>
        </w:r>
        <w:r>
          <w:rPr>
            <w:noProof/>
            <w:webHidden/>
          </w:rPr>
          <w:tab/>
        </w:r>
        <w:r>
          <w:rPr>
            <w:noProof/>
            <w:webHidden/>
          </w:rPr>
          <w:fldChar w:fldCharType="begin"/>
        </w:r>
        <w:r>
          <w:rPr>
            <w:noProof/>
            <w:webHidden/>
          </w:rPr>
          <w:instrText xml:space="preserve"> PAGEREF _Toc181035653 \h </w:instrText>
        </w:r>
        <w:r>
          <w:rPr>
            <w:noProof/>
            <w:webHidden/>
          </w:rPr>
        </w:r>
        <w:r>
          <w:rPr>
            <w:noProof/>
            <w:webHidden/>
          </w:rPr>
          <w:fldChar w:fldCharType="separate"/>
        </w:r>
        <w:r>
          <w:rPr>
            <w:noProof/>
            <w:webHidden/>
          </w:rPr>
          <w:t>3</w:t>
        </w:r>
        <w:r>
          <w:rPr>
            <w:noProof/>
            <w:webHidden/>
          </w:rPr>
          <w:fldChar w:fldCharType="end"/>
        </w:r>
      </w:hyperlink>
    </w:p>
    <w:p w14:paraId="7573FEAE" w14:textId="37CD8891" w:rsidR="000049F4" w:rsidRDefault="000049F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54" w:history="1">
        <w:r w:rsidRPr="00A7244B">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A7244B">
          <w:rPr>
            <w:rStyle w:val="Hyperlink"/>
            <w:noProof/>
          </w:rPr>
          <w:t>COMPETENCIES</w:t>
        </w:r>
        <w:r>
          <w:rPr>
            <w:noProof/>
            <w:webHidden/>
          </w:rPr>
          <w:tab/>
        </w:r>
        <w:r>
          <w:rPr>
            <w:noProof/>
            <w:webHidden/>
          </w:rPr>
          <w:fldChar w:fldCharType="begin"/>
        </w:r>
        <w:r>
          <w:rPr>
            <w:noProof/>
            <w:webHidden/>
          </w:rPr>
          <w:instrText xml:space="preserve"> PAGEREF _Toc181035654 \h </w:instrText>
        </w:r>
        <w:r>
          <w:rPr>
            <w:noProof/>
            <w:webHidden/>
          </w:rPr>
        </w:r>
        <w:r>
          <w:rPr>
            <w:noProof/>
            <w:webHidden/>
          </w:rPr>
          <w:fldChar w:fldCharType="separate"/>
        </w:r>
        <w:r>
          <w:rPr>
            <w:noProof/>
            <w:webHidden/>
          </w:rPr>
          <w:t>3</w:t>
        </w:r>
        <w:r>
          <w:rPr>
            <w:noProof/>
            <w:webHidden/>
          </w:rPr>
          <w:fldChar w:fldCharType="end"/>
        </w:r>
      </w:hyperlink>
    </w:p>
    <w:p w14:paraId="29E34AAF" w14:textId="7DFE5E35" w:rsidR="002C1CE5" w:rsidRPr="00D35DF3" w:rsidRDefault="00892B6F" w:rsidP="002C1CE5">
      <w:pPr>
        <w:pStyle w:val="Heading6"/>
      </w:pPr>
      <w:r>
        <w:fldChar w:fldCharType="end"/>
      </w:r>
      <w:r w:rsidR="002C1CE5" w:rsidRPr="00D35DF3">
        <w:t xml:space="preserve"> </w:t>
      </w:r>
    </w:p>
    <w:p w14:paraId="21337CBD" w14:textId="1F1552F3"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3B054F2" w:rsidR="00866FCC" w:rsidRDefault="002C1CE5" w:rsidP="0027373A">
      <w:pPr>
        <w:pStyle w:val="Heading1"/>
        <w:numPr>
          <w:ilvl w:val="0"/>
          <w:numId w:val="4"/>
        </w:numPr>
      </w:pPr>
      <w:bookmarkStart w:id="0" w:name="_Toc181035646"/>
      <w:r>
        <w:lastRenderedPageBreak/>
        <w:t>SCOPE</w:t>
      </w:r>
      <w:bookmarkEnd w:id="0"/>
    </w:p>
    <w:p w14:paraId="447364D5" w14:textId="670EF04C" w:rsidR="0060025F" w:rsidRDefault="002C1CE5" w:rsidP="002C1CE5">
      <w:pPr>
        <w:pStyle w:val="ListNumber"/>
      </w:pPr>
      <w:r w:rsidRPr="002C1CE5">
        <w:t>Appropriate notification and recording of company accidents</w:t>
      </w:r>
      <w:r w:rsidR="007E0955">
        <w:t xml:space="preserve"> and the subsequent investigation and actions.</w:t>
      </w:r>
    </w:p>
    <w:p w14:paraId="01ED31BE" w14:textId="489C141F" w:rsidR="002C1CE5" w:rsidRDefault="002C1CE5" w:rsidP="009F7CAB">
      <w:pPr>
        <w:pStyle w:val="AMainBodyText"/>
      </w:pPr>
    </w:p>
    <w:p w14:paraId="26BCB863" w14:textId="412ACF16" w:rsidR="002C1CE5" w:rsidRDefault="002C1CE5" w:rsidP="002C1CE5">
      <w:pPr>
        <w:pStyle w:val="Heading1"/>
      </w:pPr>
      <w:bookmarkStart w:id="1" w:name="_Toc181035647"/>
      <w:r>
        <w:t>REPORTING</w:t>
      </w:r>
      <w:bookmarkEnd w:id="1"/>
    </w:p>
    <w:p w14:paraId="4ADD9FB0" w14:textId="77777777" w:rsidR="002C1CE5" w:rsidRDefault="002C1CE5" w:rsidP="002C1CE5">
      <w:pPr>
        <w:pStyle w:val="ListNumber"/>
        <w:numPr>
          <w:ilvl w:val="0"/>
          <w:numId w:val="27"/>
        </w:numPr>
      </w:pPr>
      <w:r>
        <w:t>The Company recognises that accident and incident investigation is a major factor in accident prevention.  For this reason, the Company wishes all accidents and incidents, including “near-misses”, to be reported to management, thus allowing investigation to be carried out and the resulting feedback used to improve procedures and prevent repeat incidents.</w:t>
      </w:r>
    </w:p>
    <w:p w14:paraId="33440F5C" w14:textId="5C59F070" w:rsidR="002C1CE5" w:rsidRDefault="002C1CE5" w:rsidP="002C1CE5">
      <w:pPr>
        <w:pStyle w:val="ListNumber"/>
      </w:pPr>
      <w:r>
        <w:t>Where an incident occurs, which results in nil or minimal loss, then this will be reported to the supervisor who will investigate and, within 24 hours of the incident, report the result to M2 Safety Consultants Limited.</w:t>
      </w:r>
    </w:p>
    <w:p w14:paraId="550E0FE4" w14:textId="5DAC8903" w:rsidR="002C1CE5" w:rsidRDefault="002C1CE5" w:rsidP="002C1CE5">
      <w:pPr>
        <w:pStyle w:val="ListNumber"/>
      </w:pPr>
      <w:r>
        <w:t>Where an incident results in injury or loss, the supervisor will immediately report this to the M2 Safety Consultants Limited.</w:t>
      </w:r>
    </w:p>
    <w:p w14:paraId="17848502" w14:textId="77777777" w:rsidR="002C1CE5" w:rsidRDefault="002C1CE5" w:rsidP="002C1CE5">
      <w:pPr>
        <w:pStyle w:val="ListNumber"/>
      </w:pPr>
      <w:r>
        <w:t xml:space="preserve">During normal working hours this will be direct to the Director, or to the office receptionist for transmission to the Director. </w:t>
      </w:r>
    </w:p>
    <w:p w14:paraId="51EF55C6" w14:textId="61DB1D5A" w:rsidR="002C1CE5" w:rsidRDefault="002C1CE5" w:rsidP="002C1CE5">
      <w:pPr>
        <w:pStyle w:val="ListNumber"/>
      </w:pPr>
      <w:r>
        <w:t>Out with normal hours, reports will be made to the designated telephone number and M2 Safety Consultants Limited.</w:t>
      </w:r>
    </w:p>
    <w:p w14:paraId="65BA61AC" w14:textId="77777777" w:rsidR="002C1CE5" w:rsidRDefault="002C1CE5" w:rsidP="002C1CE5">
      <w:pPr>
        <w:pStyle w:val="ListNumber"/>
      </w:pPr>
      <w:r>
        <w:t xml:space="preserve">Where the incident occurs on premises controlled by others, then any injury should be entered in that undertakings Accident Book, but the Company procedure should still be complied with in full. </w:t>
      </w:r>
    </w:p>
    <w:p w14:paraId="3A41EE08" w14:textId="71D286A2" w:rsidR="002C1CE5" w:rsidRDefault="002C1CE5" w:rsidP="002C1CE5">
      <w:pPr>
        <w:pStyle w:val="ListNumber"/>
      </w:pPr>
      <w:r>
        <w:t>Management or office receptionist will inform M2 Safety Consultants Limited of the accident, its nature and location and a decision will be made as to whether an immediate investigation is required.  Where the incident involves a major injury or reportable incident, then an immediate investigation will always be required.</w:t>
      </w:r>
    </w:p>
    <w:p w14:paraId="0E558DFD" w14:textId="4F86087A" w:rsidR="002C1CE5" w:rsidRDefault="002C1CE5" w:rsidP="002C1CE5">
      <w:pPr>
        <w:pStyle w:val="ListNumber"/>
      </w:pPr>
      <w:r>
        <w:t>The responsibility for reporting injuries and incidents rests with Management and M2 Safety Consultants Limited.</w:t>
      </w:r>
    </w:p>
    <w:p w14:paraId="0334D7AA" w14:textId="41DD3E41" w:rsidR="002C1CE5" w:rsidRDefault="002C1CE5" w:rsidP="002C1CE5">
      <w:pPr>
        <w:pStyle w:val="ListNumber"/>
      </w:pPr>
      <w:r>
        <w:t>Reporting will normally be carried out by telephone to 0845 300 9923 for deaths or major injuries only or by e-mail to riddor@natbrit.com.</w:t>
      </w:r>
    </w:p>
    <w:p w14:paraId="1D424371" w14:textId="77777777" w:rsidR="002C1CE5" w:rsidRDefault="002C1CE5" w:rsidP="002C1CE5">
      <w:pPr>
        <w:pStyle w:val="ListNumber"/>
      </w:pPr>
      <w:r>
        <w:t>For a major injury or Schedule 2 Dangerous Occurrence, reporting must be carried out immediately.</w:t>
      </w:r>
    </w:p>
    <w:p w14:paraId="1221FFC0" w14:textId="77777777" w:rsidR="002C1CE5" w:rsidRDefault="002C1CE5" w:rsidP="002C1CE5">
      <w:pPr>
        <w:pStyle w:val="ListNumber"/>
      </w:pPr>
      <w:r>
        <w:t>For “seven day” reportable injuries, the report (Form F.2508) must be lodged within 15 days of the incident. N.B. A “seven day” injury is one where the injured party is not able to work at his normal tasks for a period of 7 days after the incident, excluding the day of the incident, but including days when he might not normally work, e.g. Saturdays and Sundays.</w:t>
      </w:r>
    </w:p>
    <w:p w14:paraId="3D5D2DFC" w14:textId="2FED51F9" w:rsidR="002C1CE5" w:rsidRDefault="002C1CE5" w:rsidP="002C1CE5">
      <w:pPr>
        <w:pStyle w:val="ListNumber"/>
      </w:pPr>
      <w:r>
        <w:lastRenderedPageBreak/>
        <w:t>The non-availability of details should not delay reporting where this is an immediate requirement. Where any detail is unclear, then the safety adviser should be consulted.</w:t>
      </w:r>
    </w:p>
    <w:p w14:paraId="3AB9F018" w14:textId="77777777" w:rsidR="002C1CE5" w:rsidRDefault="002C1CE5" w:rsidP="002C1CE5">
      <w:pPr>
        <w:pStyle w:val="ListNumber"/>
      </w:pPr>
      <w:r>
        <w:t xml:space="preserve">An Accident Book (BI.510) is kept at each worksite and this should be completed by the supervisor at the time of the incident, or as soon as practicable thereafter. </w:t>
      </w:r>
    </w:p>
    <w:p w14:paraId="0A3C9081" w14:textId="77777777" w:rsidR="002C1CE5" w:rsidRDefault="002C1CE5" w:rsidP="002C1CE5">
      <w:pPr>
        <w:pStyle w:val="ListNumber"/>
      </w:pPr>
      <w:r>
        <w:t>Only those accidents involving personal injury requiring first aid or medical treatment will be recorded in the Accident Book.</w:t>
      </w:r>
    </w:p>
    <w:p w14:paraId="508058CA" w14:textId="21D8E135" w:rsidR="002C1CE5" w:rsidRDefault="002C1CE5" w:rsidP="002C1CE5">
      <w:pPr>
        <w:pStyle w:val="ListNumber"/>
      </w:pPr>
      <w:r>
        <w:t>All persons alleging an injury has occurred to them on a site controlled by the Company, whether or not they are employees of the Company, have the right to enter this in the Accident Book at any time. Where an injury is reported other than at the time of the incident, then this must be notified to the company immediately.</w:t>
      </w:r>
    </w:p>
    <w:p w14:paraId="4FA35181" w14:textId="338FE0A1" w:rsidR="002C1CE5" w:rsidRDefault="002C1CE5" w:rsidP="002C1CE5">
      <w:pPr>
        <w:pStyle w:val="ListNumber"/>
      </w:pPr>
      <w:r>
        <w:t>Accident Books at company premises other than the company’s main office are to be returned to the main office when full or redundant for any other reason and archived for a minimum period of 3 years.</w:t>
      </w:r>
    </w:p>
    <w:p w14:paraId="1680F3D5" w14:textId="77777777" w:rsidR="00185D68" w:rsidRDefault="00185D68" w:rsidP="00185D68">
      <w:pPr>
        <w:pStyle w:val="ListNumber"/>
        <w:numPr>
          <w:ilvl w:val="0"/>
          <w:numId w:val="0"/>
        </w:numPr>
        <w:ind w:left="720"/>
      </w:pPr>
    </w:p>
    <w:p w14:paraId="7674666D" w14:textId="3B31E794" w:rsidR="00C87E45" w:rsidRDefault="00C87E45" w:rsidP="00F62E38">
      <w:pPr>
        <w:pStyle w:val="Heading1"/>
      </w:pPr>
      <w:bookmarkStart w:id="2" w:name="_Toc181035648"/>
      <w:r>
        <w:t>SEVERITY</w:t>
      </w:r>
      <w:r w:rsidR="006B2899">
        <w:t>, ROLES</w:t>
      </w:r>
      <w:r>
        <w:t xml:space="preserve"> AND </w:t>
      </w:r>
      <w:r w:rsidR="00F62E38">
        <w:t>REPORTING TIMES</w:t>
      </w:r>
      <w:bookmarkEnd w:id="2"/>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31"/>
        <w:gridCol w:w="9769"/>
      </w:tblGrid>
      <w:tr w:rsidR="00C87E45" w:rsidRPr="00D079F0" w14:paraId="5CA2F570" w14:textId="77777777" w:rsidTr="00E87BA3">
        <w:trPr>
          <w:jc w:val="center"/>
        </w:trPr>
        <w:tc>
          <w:tcPr>
            <w:tcW w:w="10800" w:type="dxa"/>
            <w:gridSpan w:val="2"/>
            <w:shd w:val="clear" w:color="auto" w:fill="6AA2DA" w:themeFill="accent2"/>
          </w:tcPr>
          <w:p w14:paraId="450E9CD2" w14:textId="6600691A" w:rsidR="00C87E45" w:rsidRPr="00D079F0" w:rsidRDefault="00C87E45" w:rsidP="00E87BA3">
            <w:pPr>
              <w:spacing w:before="120" w:after="120"/>
              <w:rPr>
                <w:rFonts w:asciiTheme="minorHAnsi" w:hAnsiTheme="minorHAnsi" w:cstheme="minorHAnsi"/>
                <w:sz w:val="18"/>
                <w:szCs w:val="18"/>
              </w:rPr>
            </w:pPr>
            <w:r w:rsidRPr="00D079F0">
              <w:rPr>
                <w:rFonts w:asciiTheme="minorHAnsi" w:hAnsiTheme="minorHAnsi" w:cstheme="minorHAnsi"/>
                <w:color w:val="FFFFFF" w:themeColor="background1"/>
                <w:sz w:val="18"/>
                <w:szCs w:val="18"/>
              </w:rPr>
              <w:t>Investigation Level Dependent on Potential</w:t>
            </w:r>
            <w:r w:rsidR="00F62E38">
              <w:rPr>
                <w:rFonts w:asciiTheme="minorHAnsi" w:hAnsiTheme="minorHAnsi" w:cstheme="minorHAnsi"/>
                <w:color w:val="FFFFFF" w:themeColor="background1"/>
                <w:sz w:val="18"/>
                <w:szCs w:val="18"/>
              </w:rPr>
              <w:t xml:space="preserve"> &amp; Timescales</w:t>
            </w:r>
          </w:p>
        </w:tc>
      </w:tr>
      <w:tr w:rsidR="00C87E45" w:rsidRPr="00D079F0" w14:paraId="3CF59F28" w14:textId="77777777" w:rsidTr="00E87BA3">
        <w:trPr>
          <w:trHeight w:val="217"/>
          <w:jc w:val="center"/>
        </w:trPr>
        <w:tc>
          <w:tcPr>
            <w:tcW w:w="1031" w:type="dxa"/>
            <w:shd w:val="clear" w:color="auto" w:fill="FF0000"/>
            <w:vAlign w:val="center"/>
          </w:tcPr>
          <w:p w14:paraId="72AEAFAA" w14:textId="77777777" w:rsidR="00C87E45" w:rsidRPr="00D079F0" w:rsidRDefault="00C87E45" w:rsidP="00E87BA3">
            <w:pPr>
              <w:jc w:val="center"/>
              <w:rPr>
                <w:rFonts w:asciiTheme="minorHAnsi" w:hAnsiTheme="minorHAnsi" w:cstheme="minorHAnsi"/>
                <w:b/>
                <w:color w:val="FFFFFF"/>
                <w:sz w:val="18"/>
                <w:szCs w:val="18"/>
              </w:rPr>
            </w:pPr>
            <w:r w:rsidRPr="00D079F0">
              <w:rPr>
                <w:rFonts w:asciiTheme="minorHAnsi" w:hAnsiTheme="minorHAnsi" w:cstheme="minorHAnsi"/>
                <w:b/>
                <w:color w:val="FFFFFF"/>
                <w:sz w:val="18"/>
                <w:szCs w:val="18"/>
              </w:rPr>
              <w:t>H</w:t>
            </w:r>
            <w:r w:rsidRPr="00D079F0">
              <w:rPr>
                <w:rFonts w:asciiTheme="minorHAnsi" w:hAnsiTheme="minorHAnsi" w:cstheme="minorHAnsi"/>
                <w:b/>
                <w:color w:val="FFFFFF"/>
                <w:sz w:val="18"/>
                <w:szCs w:val="18"/>
                <w:shd w:val="clear" w:color="auto" w:fill="FF0000"/>
              </w:rPr>
              <w:t>IGH</w:t>
            </w:r>
          </w:p>
        </w:tc>
        <w:tc>
          <w:tcPr>
            <w:tcW w:w="9769" w:type="dxa"/>
            <w:shd w:val="clear" w:color="auto" w:fill="auto"/>
          </w:tcPr>
          <w:p w14:paraId="4E7715D8" w14:textId="4B8A6DEC" w:rsidR="00C87E45" w:rsidRPr="006B2899" w:rsidRDefault="00C87E45" w:rsidP="00E87BA3">
            <w:pPr>
              <w:spacing w:before="120" w:after="120"/>
              <w:rPr>
                <w:rFonts w:asciiTheme="minorHAnsi" w:hAnsiTheme="minorHAnsi" w:cstheme="minorHAnsi"/>
                <w:sz w:val="18"/>
                <w:szCs w:val="18"/>
              </w:rPr>
            </w:pPr>
            <w:r w:rsidRPr="006B2899">
              <w:rPr>
                <w:rFonts w:asciiTheme="minorHAnsi" w:hAnsiTheme="minorHAnsi" w:cstheme="minorHAnsi"/>
                <w:sz w:val="18"/>
                <w:szCs w:val="18"/>
              </w:rPr>
              <w:t>High level investigation, with full root cause analysis, by investigation team appointed by a director. Team to be led by a Director, supported by Senior Manager and M2 Safety Consultants Limited.</w:t>
            </w:r>
            <w:r w:rsidR="00185D68">
              <w:rPr>
                <w:rFonts w:asciiTheme="minorHAnsi" w:hAnsiTheme="minorHAnsi" w:cstheme="minorHAnsi"/>
                <w:sz w:val="18"/>
                <w:szCs w:val="18"/>
              </w:rPr>
              <w:t xml:space="preserve"> Root cause analysis required.</w:t>
            </w:r>
          </w:p>
          <w:p w14:paraId="2B2376C2" w14:textId="77777777" w:rsidR="00F62E38" w:rsidRPr="006B2899" w:rsidRDefault="00F62E38" w:rsidP="00F62E38">
            <w:pPr>
              <w:pStyle w:val="AMainBodyText"/>
              <w:rPr>
                <w:sz w:val="18"/>
                <w:szCs w:val="18"/>
              </w:rPr>
            </w:pPr>
          </w:p>
          <w:p w14:paraId="3295EEC4" w14:textId="67AA0118" w:rsidR="00F62E38" w:rsidRPr="006B2899" w:rsidRDefault="00F62E38" w:rsidP="00F62E38">
            <w:pPr>
              <w:pStyle w:val="AMainBodyText"/>
              <w:rPr>
                <w:sz w:val="18"/>
                <w:szCs w:val="18"/>
              </w:rPr>
            </w:pPr>
            <w:r w:rsidRPr="006B2899">
              <w:rPr>
                <w:sz w:val="18"/>
                <w:szCs w:val="18"/>
              </w:rPr>
              <w:t xml:space="preserve">Time scale for report </w:t>
            </w:r>
            <w:r w:rsidR="00E56809" w:rsidRPr="006B2899">
              <w:rPr>
                <w:sz w:val="18"/>
                <w:szCs w:val="18"/>
              </w:rPr>
              <w:t>–</w:t>
            </w:r>
            <w:r w:rsidRPr="006B2899">
              <w:rPr>
                <w:sz w:val="18"/>
                <w:szCs w:val="18"/>
              </w:rPr>
              <w:t xml:space="preserve"> </w:t>
            </w:r>
            <w:r w:rsidR="001C5616" w:rsidRPr="006B2899">
              <w:rPr>
                <w:sz w:val="18"/>
                <w:szCs w:val="18"/>
              </w:rPr>
              <w:t>3</w:t>
            </w:r>
            <w:r w:rsidR="00E56809" w:rsidRPr="006B2899">
              <w:rPr>
                <w:sz w:val="18"/>
                <w:szCs w:val="18"/>
              </w:rPr>
              <w:t xml:space="preserve"> days </w:t>
            </w:r>
            <w:r w:rsidR="001C5616" w:rsidRPr="006B2899">
              <w:rPr>
                <w:sz w:val="18"/>
                <w:szCs w:val="18"/>
              </w:rPr>
              <w:t xml:space="preserve">after incident </w:t>
            </w:r>
            <w:r w:rsidR="00E56809" w:rsidRPr="006B2899">
              <w:rPr>
                <w:sz w:val="18"/>
                <w:szCs w:val="18"/>
              </w:rPr>
              <w:t>for</w:t>
            </w:r>
            <w:r w:rsidR="001C5616" w:rsidRPr="006B2899">
              <w:rPr>
                <w:sz w:val="18"/>
                <w:szCs w:val="18"/>
              </w:rPr>
              <w:t xml:space="preserve"> an</w:t>
            </w:r>
            <w:r w:rsidR="00E56809" w:rsidRPr="006B2899">
              <w:rPr>
                <w:sz w:val="18"/>
                <w:szCs w:val="18"/>
              </w:rPr>
              <w:t xml:space="preserve"> interim report.  14 days</w:t>
            </w:r>
            <w:r w:rsidR="001C5616" w:rsidRPr="006B2899">
              <w:rPr>
                <w:sz w:val="18"/>
                <w:szCs w:val="18"/>
              </w:rPr>
              <w:t xml:space="preserve"> after the incident</w:t>
            </w:r>
            <w:r w:rsidR="00E56809" w:rsidRPr="006B2899">
              <w:rPr>
                <w:sz w:val="18"/>
                <w:szCs w:val="18"/>
              </w:rPr>
              <w:t xml:space="preserve"> for full report if all evidence/ information is available.</w:t>
            </w:r>
          </w:p>
        </w:tc>
      </w:tr>
      <w:tr w:rsidR="00C87E45" w:rsidRPr="00D079F0" w14:paraId="0698D3D5" w14:textId="77777777" w:rsidTr="00E87BA3">
        <w:trPr>
          <w:trHeight w:val="217"/>
          <w:jc w:val="center"/>
        </w:trPr>
        <w:tc>
          <w:tcPr>
            <w:tcW w:w="1031" w:type="dxa"/>
            <w:shd w:val="clear" w:color="auto" w:fill="FFFF00"/>
            <w:vAlign w:val="center"/>
          </w:tcPr>
          <w:p w14:paraId="35E7A616" w14:textId="77777777" w:rsidR="00C87E45" w:rsidRPr="00D079F0" w:rsidRDefault="00C87E45" w:rsidP="00E87BA3">
            <w:pPr>
              <w:jc w:val="center"/>
              <w:rPr>
                <w:rFonts w:asciiTheme="minorHAnsi" w:hAnsiTheme="minorHAnsi" w:cstheme="minorHAnsi"/>
                <w:b/>
                <w:sz w:val="18"/>
                <w:szCs w:val="18"/>
              </w:rPr>
            </w:pPr>
            <w:r w:rsidRPr="00D079F0">
              <w:rPr>
                <w:rFonts w:asciiTheme="minorHAnsi" w:hAnsiTheme="minorHAnsi" w:cstheme="minorHAnsi"/>
                <w:b/>
                <w:sz w:val="18"/>
                <w:szCs w:val="18"/>
              </w:rPr>
              <w:t>MEDIUM</w:t>
            </w:r>
          </w:p>
        </w:tc>
        <w:tc>
          <w:tcPr>
            <w:tcW w:w="9769" w:type="dxa"/>
            <w:shd w:val="clear" w:color="auto" w:fill="auto"/>
          </w:tcPr>
          <w:p w14:paraId="3F113B10" w14:textId="5A183150" w:rsidR="00C87E45" w:rsidRPr="006B2899" w:rsidRDefault="00C87E45" w:rsidP="00E87BA3">
            <w:pPr>
              <w:spacing w:before="120" w:after="120"/>
              <w:rPr>
                <w:rFonts w:asciiTheme="minorHAnsi" w:hAnsiTheme="minorHAnsi" w:cstheme="minorHAnsi"/>
                <w:sz w:val="18"/>
                <w:szCs w:val="18"/>
              </w:rPr>
            </w:pPr>
            <w:r w:rsidRPr="006B2899">
              <w:rPr>
                <w:rFonts w:asciiTheme="minorHAnsi" w:hAnsiTheme="minorHAnsi" w:cstheme="minorHAnsi"/>
                <w:sz w:val="18"/>
                <w:szCs w:val="18"/>
              </w:rPr>
              <w:t>Medium Level Investigation, with full root cause analysis, led by M2 Safety Consultants Limited with support from a Senior Manager.</w:t>
            </w:r>
            <w:r w:rsidR="00185D68">
              <w:rPr>
                <w:rFonts w:asciiTheme="minorHAnsi" w:hAnsiTheme="minorHAnsi" w:cstheme="minorHAnsi"/>
                <w:sz w:val="18"/>
                <w:szCs w:val="18"/>
              </w:rPr>
              <w:t xml:space="preserve">  Incident investigation report with findings.</w:t>
            </w:r>
          </w:p>
          <w:p w14:paraId="51B6D8E3" w14:textId="77777777" w:rsidR="00E56809" w:rsidRPr="006B2899" w:rsidRDefault="00E56809" w:rsidP="00E56809">
            <w:pPr>
              <w:pStyle w:val="AMainBodyText"/>
              <w:rPr>
                <w:sz w:val="18"/>
                <w:szCs w:val="18"/>
              </w:rPr>
            </w:pPr>
          </w:p>
          <w:p w14:paraId="12DB6AB1" w14:textId="68B8FE17" w:rsidR="00E56809" w:rsidRPr="006B2899" w:rsidRDefault="001C5616" w:rsidP="00E56809">
            <w:pPr>
              <w:pStyle w:val="AMainBodyText"/>
              <w:rPr>
                <w:sz w:val="18"/>
                <w:szCs w:val="18"/>
              </w:rPr>
            </w:pPr>
            <w:r w:rsidRPr="006B2899">
              <w:rPr>
                <w:sz w:val="18"/>
                <w:szCs w:val="18"/>
              </w:rPr>
              <w:t>Time scale for report – 5 days after incident for an interim report.  14 days after the incident for full report if all evidence/ information is available.</w:t>
            </w:r>
          </w:p>
        </w:tc>
      </w:tr>
      <w:tr w:rsidR="00C87E45" w:rsidRPr="00D079F0" w14:paraId="0591EF94" w14:textId="77777777" w:rsidTr="00E87BA3">
        <w:trPr>
          <w:trHeight w:val="217"/>
          <w:jc w:val="center"/>
        </w:trPr>
        <w:tc>
          <w:tcPr>
            <w:tcW w:w="1031" w:type="dxa"/>
            <w:shd w:val="clear" w:color="auto" w:fill="00FF00"/>
            <w:vAlign w:val="center"/>
          </w:tcPr>
          <w:p w14:paraId="30034974" w14:textId="77777777" w:rsidR="00C87E45" w:rsidRPr="00D079F0" w:rsidRDefault="00C87E45" w:rsidP="00E87BA3">
            <w:pPr>
              <w:jc w:val="center"/>
              <w:rPr>
                <w:rFonts w:asciiTheme="minorHAnsi" w:hAnsiTheme="minorHAnsi" w:cstheme="minorHAnsi"/>
                <w:b/>
                <w:sz w:val="18"/>
                <w:szCs w:val="18"/>
              </w:rPr>
            </w:pPr>
            <w:r w:rsidRPr="00D079F0">
              <w:rPr>
                <w:rFonts w:asciiTheme="minorHAnsi" w:hAnsiTheme="minorHAnsi" w:cstheme="minorHAnsi"/>
                <w:b/>
                <w:sz w:val="18"/>
                <w:szCs w:val="18"/>
              </w:rPr>
              <w:t>LOW</w:t>
            </w:r>
          </w:p>
        </w:tc>
        <w:tc>
          <w:tcPr>
            <w:tcW w:w="9769" w:type="dxa"/>
            <w:shd w:val="clear" w:color="auto" w:fill="auto"/>
          </w:tcPr>
          <w:p w14:paraId="1150DF60" w14:textId="3833B278" w:rsidR="00C87E45" w:rsidRPr="006B2899" w:rsidRDefault="00C87E45" w:rsidP="00E87BA3">
            <w:pPr>
              <w:spacing w:before="120" w:after="120"/>
              <w:rPr>
                <w:rFonts w:asciiTheme="minorHAnsi" w:hAnsiTheme="minorHAnsi" w:cstheme="minorHAnsi"/>
                <w:sz w:val="18"/>
                <w:szCs w:val="18"/>
              </w:rPr>
            </w:pPr>
            <w:r w:rsidRPr="006B2899">
              <w:rPr>
                <w:rFonts w:asciiTheme="minorHAnsi" w:hAnsiTheme="minorHAnsi" w:cstheme="minorHAnsi"/>
                <w:sz w:val="18"/>
                <w:szCs w:val="18"/>
              </w:rPr>
              <w:t>Low level investigation to establish facts along with contributing and root causes. Investigation led by Managers with support from M2 Safety Consultants Limited where necessary.</w:t>
            </w:r>
            <w:r w:rsidR="00185D68">
              <w:rPr>
                <w:rFonts w:asciiTheme="minorHAnsi" w:hAnsiTheme="minorHAnsi" w:cstheme="minorHAnsi"/>
                <w:sz w:val="18"/>
                <w:szCs w:val="18"/>
              </w:rPr>
              <w:t xml:space="preserve"> Incident investigation report with findings.</w:t>
            </w:r>
          </w:p>
          <w:p w14:paraId="4B8887BC" w14:textId="77777777" w:rsidR="006B2899" w:rsidRPr="006B2899" w:rsidRDefault="006B2899" w:rsidP="006B2899">
            <w:pPr>
              <w:pStyle w:val="AMainBodyText"/>
              <w:rPr>
                <w:sz w:val="18"/>
                <w:szCs w:val="18"/>
              </w:rPr>
            </w:pPr>
          </w:p>
          <w:p w14:paraId="0925AE07" w14:textId="60878ADB" w:rsidR="006B2899" w:rsidRPr="006B2899" w:rsidRDefault="006B2899" w:rsidP="006B2899">
            <w:pPr>
              <w:pStyle w:val="AMainBodyText"/>
              <w:rPr>
                <w:sz w:val="18"/>
                <w:szCs w:val="18"/>
              </w:rPr>
            </w:pPr>
            <w:r w:rsidRPr="006B2899">
              <w:rPr>
                <w:sz w:val="18"/>
                <w:szCs w:val="18"/>
              </w:rPr>
              <w:t>Time scale for report – 14 days after the incident for full report if all evidence/ information is available.</w:t>
            </w:r>
          </w:p>
        </w:tc>
      </w:tr>
    </w:tbl>
    <w:p w14:paraId="626D4484" w14:textId="77777777" w:rsidR="00165C7F" w:rsidRDefault="00165C7F" w:rsidP="00165C7F">
      <w:pPr>
        <w:pStyle w:val="ListNumber"/>
        <w:numPr>
          <w:ilvl w:val="0"/>
          <w:numId w:val="0"/>
        </w:numPr>
        <w:ind w:left="720" w:hanging="720"/>
      </w:pPr>
    </w:p>
    <w:p w14:paraId="48324A52" w14:textId="789B1AEF" w:rsidR="00C87E45" w:rsidRDefault="006B2899" w:rsidP="006B2899">
      <w:pPr>
        <w:pStyle w:val="Heading1"/>
      </w:pPr>
      <w:bookmarkStart w:id="3" w:name="_Toc181035649"/>
      <w:r>
        <w:t>CORRECTIVE ACTIONS AND REPORTS</w:t>
      </w:r>
      <w:bookmarkEnd w:id="3"/>
    </w:p>
    <w:p w14:paraId="4AE39478" w14:textId="77777777" w:rsidR="007E0955" w:rsidRDefault="007E0955" w:rsidP="00622443">
      <w:pPr>
        <w:pStyle w:val="ListNumber"/>
        <w:numPr>
          <w:ilvl w:val="0"/>
          <w:numId w:val="33"/>
        </w:numPr>
      </w:pPr>
      <w:r>
        <w:t>Two levels of incident investigation and reporting have been determined</w:t>
      </w:r>
    </w:p>
    <w:p w14:paraId="63A70DBF" w14:textId="4B3EA8E2" w:rsidR="00185D68" w:rsidRDefault="00185D68" w:rsidP="00185D68">
      <w:pPr>
        <w:pStyle w:val="Heading2"/>
      </w:pPr>
      <w:bookmarkStart w:id="4" w:name="_Toc181035650"/>
      <w:r>
        <w:t>Minor (Low to Medium)</w:t>
      </w:r>
      <w:r w:rsidR="007E0955">
        <w:t>:</w:t>
      </w:r>
      <w:bookmarkEnd w:id="4"/>
    </w:p>
    <w:p w14:paraId="17C39829" w14:textId="6E28BF38" w:rsidR="007E0955" w:rsidRDefault="007E0955" w:rsidP="00622443">
      <w:pPr>
        <w:pStyle w:val="ListNumber"/>
        <w:numPr>
          <w:ilvl w:val="0"/>
          <w:numId w:val="32"/>
        </w:numPr>
      </w:pPr>
      <w:r>
        <w:t xml:space="preserve">A local investigation process to commence immediate investigations into all incidents. The investigation provides details of the incident, identifies the assessed potential severity level, incident causations and the actions proposed to prevent a recurrence. </w:t>
      </w:r>
    </w:p>
    <w:p w14:paraId="3449A67B" w14:textId="77777777" w:rsidR="00185D68" w:rsidRDefault="00185D68" w:rsidP="00185D68">
      <w:pPr>
        <w:pStyle w:val="Heading2"/>
      </w:pPr>
      <w:bookmarkStart w:id="5" w:name="_Toc181035651"/>
      <w:r>
        <w:lastRenderedPageBreak/>
        <w:t>Major (medium to high)</w:t>
      </w:r>
      <w:bookmarkEnd w:id="5"/>
    </w:p>
    <w:p w14:paraId="45B12B32" w14:textId="50067245" w:rsidR="007E0955" w:rsidRDefault="007E0955" w:rsidP="00622443">
      <w:pPr>
        <w:pStyle w:val="ListNumber"/>
        <w:numPr>
          <w:ilvl w:val="0"/>
          <w:numId w:val="31"/>
        </w:numPr>
      </w:pPr>
      <w:r>
        <w:t>A root cause analysis (RCA) investigation following the Integrated Incident Investigation process which incorporates the Human Factors Analysis and Classification System (HFACS).</w:t>
      </w:r>
    </w:p>
    <w:p w14:paraId="2BC6135C" w14:textId="7E39C645" w:rsidR="007E0955" w:rsidRDefault="007E0955" w:rsidP="00622443">
      <w:pPr>
        <w:pStyle w:val="ListNumber"/>
        <w:numPr>
          <w:ilvl w:val="0"/>
          <w:numId w:val="31"/>
        </w:numPr>
      </w:pPr>
      <w:r>
        <w:t xml:space="preserve">Any RCA investigation must be formally reviewed and approved by the </w:t>
      </w:r>
      <w:r w:rsidR="00185D68">
        <w:t xml:space="preserve">company </w:t>
      </w:r>
      <w:r>
        <w:t>Director responsible for safety</w:t>
      </w:r>
      <w:r w:rsidR="00185D68">
        <w:t>.</w:t>
      </w:r>
    </w:p>
    <w:p w14:paraId="0AEBB02D" w14:textId="31596B51" w:rsidR="005760F4" w:rsidRDefault="007E0955" w:rsidP="00622443">
      <w:pPr>
        <w:pStyle w:val="ListNumber"/>
        <w:numPr>
          <w:ilvl w:val="0"/>
          <w:numId w:val="31"/>
        </w:numPr>
      </w:pPr>
      <w:r>
        <w:t>All other investigation reports must receive be reviewed and approved by management.</w:t>
      </w:r>
    </w:p>
    <w:p w14:paraId="148172BA" w14:textId="77777777" w:rsidR="00ED074F" w:rsidRDefault="00ED074F" w:rsidP="006B2899">
      <w:pPr>
        <w:pStyle w:val="AMainBodyText"/>
      </w:pPr>
    </w:p>
    <w:p w14:paraId="38DE57C6" w14:textId="7E6E05FB" w:rsidR="00ED074F" w:rsidRDefault="00185D68" w:rsidP="00185D68">
      <w:pPr>
        <w:pStyle w:val="Heading1"/>
      </w:pPr>
      <w:bookmarkStart w:id="6" w:name="_Toc181035652"/>
      <w:r>
        <w:t>WELFARE OF INJURED PERSON</w:t>
      </w:r>
      <w:bookmarkEnd w:id="6"/>
    </w:p>
    <w:p w14:paraId="44DA19BA" w14:textId="4D37E5A6" w:rsidR="00ED074F" w:rsidRDefault="00ED074F" w:rsidP="00622443">
      <w:pPr>
        <w:pStyle w:val="ListNumber"/>
        <w:numPr>
          <w:ilvl w:val="0"/>
          <w:numId w:val="30"/>
        </w:numPr>
      </w:pPr>
      <w:r>
        <w:t>If the injured person is required to attend hospital, suitable transportation must be provided and further arrangements made for their homeward journey.</w:t>
      </w:r>
    </w:p>
    <w:p w14:paraId="4C808460" w14:textId="27E8C650" w:rsidR="00ED074F" w:rsidRPr="006B2899" w:rsidRDefault="00ED074F" w:rsidP="00622443">
      <w:pPr>
        <w:pStyle w:val="ListNumber"/>
        <w:numPr>
          <w:ilvl w:val="0"/>
          <w:numId w:val="30"/>
        </w:numPr>
      </w:pPr>
      <w:r>
        <w:t xml:space="preserve">Where appropriate, the injured person’s next of kin should be advised of the situation and, if the employee is detained in hospital, assistance should be offered by the </w:t>
      </w:r>
      <w:r w:rsidR="00185D68">
        <w:t>Company</w:t>
      </w:r>
      <w:r>
        <w:t>.</w:t>
      </w:r>
    </w:p>
    <w:p w14:paraId="2EC92AB3" w14:textId="77777777" w:rsidR="00165C7F" w:rsidRDefault="00165C7F" w:rsidP="00165C7F">
      <w:pPr>
        <w:pStyle w:val="ListNumber"/>
        <w:numPr>
          <w:ilvl w:val="0"/>
          <w:numId w:val="0"/>
        </w:numPr>
        <w:ind w:left="720" w:hanging="720"/>
      </w:pPr>
    </w:p>
    <w:p w14:paraId="5BB4867C" w14:textId="5F5762D9" w:rsidR="00532235" w:rsidRDefault="00185D68" w:rsidP="00185D68">
      <w:pPr>
        <w:pStyle w:val="Heading1"/>
      </w:pPr>
      <w:bookmarkStart w:id="7" w:name="_Toc181035653"/>
      <w:r>
        <w:t>LEGAL PRIVILEGE</w:t>
      </w:r>
      <w:bookmarkEnd w:id="7"/>
    </w:p>
    <w:p w14:paraId="37982342" w14:textId="5F6E98FD" w:rsidR="00532235" w:rsidRDefault="00185D68" w:rsidP="00622443">
      <w:pPr>
        <w:pStyle w:val="ListNumber"/>
        <w:numPr>
          <w:ilvl w:val="0"/>
          <w:numId w:val="29"/>
        </w:numPr>
      </w:pPr>
      <w:r>
        <w:t>T</w:t>
      </w:r>
      <w:r w:rsidR="00532235">
        <w:t xml:space="preserve">he Director responsible for safety swill consult with </w:t>
      </w:r>
      <w:r w:rsidR="00B9392C">
        <w:t>M2 Safety (and/or Insurance company)</w:t>
      </w:r>
      <w:r w:rsidR="00532235">
        <w:t xml:space="preserve"> to determine whether the investigation should be conducted in contemplation of prosecution or legal action.</w:t>
      </w:r>
    </w:p>
    <w:p w14:paraId="628D6E25" w14:textId="6833A884" w:rsidR="00532235" w:rsidRDefault="00532235" w:rsidP="00532235">
      <w:pPr>
        <w:pStyle w:val="ListNumber"/>
      </w:pPr>
      <w:r>
        <w:t xml:space="preserve">If this is the case, </w:t>
      </w:r>
      <w:r w:rsidR="00B9392C">
        <w:t xml:space="preserve">an </w:t>
      </w:r>
      <w:r>
        <w:t>investigation</w:t>
      </w:r>
      <w:r w:rsidR="00B9392C">
        <w:t xml:space="preserve"> is</w:t>
      </w:r>
      <w:r>
        <w:t xml:space="preserve"> to be conducted and reported to </w:t>
      </w:r>
      <w:r w:rsidR="00B9392C">
        <w:t>the legal representative</w:t>
      </w:r>
      <w:r>
        <w:t>. This action should preserve the ability to claim legal privilege for all information arising, to keep all investigation information confidential to the company and to avoid disclosure.</w:t>
      </w:r>
    </w:p>
    <w:p w14:paraId="66C7731B" w14:textId="70A53265" w:rsidR="00532235" w:rsidRDefault="00532235" w:rsidP="00532235">
      <w:pPr>
        <w:pStyle w:val="ListNumber"/>
      </w:pPr>
      <w:r>
        <w:t>Legal privilege may be released at any future date, if this protection is no longer required.</w:t>
      </w:r>
    </w:p>
    <w:p w14:paraId="77106B5F" w14:textId="0C97C1B5" w:rsidR="00532235" w:rsidRDefault="00532235" w:rsidP="00622443">
      <w:pPr>
        <w:pStyle w:val="AItalicNote"/>
        <w:jc w:val="center"/>
      </w:pPr>
      <w:r>
        <w:t>Note that privileged information must not be loaded into incident recording databases - only summary facts should be recorded until privilege is released.</w:t>
      </w:r>
    </w:p>
    <w:p w14:paraId="14522578" w14:textId="77777777" w:rsidR="004F57DD" w:rsidRDefault="004F57DD" w:rsidP="00B9392C">
      <w:pPr>
        <w:pStyle w:val="Heading1"/>
      </w:pPr>
      <w:bookmarkStart w:id="8" w:name="_Toc181035654"/>
      <w:r>
        <w:t>COMPETENCIES</w:t>
      </w:r>
      <w:bookmarkEnd w:id="8"/>
    </w:p>
    <w:p w14:paraId="749C19EA" w14:textId="10291FEF" w:rsidR="00622443" w:rsidRDefault="004F57DD" w:rsidP="00622443">
      <w:pPr>
        <w:pStyle w:val="ListNumber"/>
        <w:numPr>
          <w:ilvl w:val="0"/>
          <w:numId w:val="28"/>
        </w:numPr>
      </w:pPr>
      <w:r>
        <w:t xml:space="preserve">All persons engaged in </w:t>
      </w:r>
      <w:r w:rsidR="00622443">
        <w:t>low level</w:t>
      </w:r>
      <w:r>
        <w:t xml:space="preserve"> incident investigation must be technically competent and trained in accident investigation by attending in-house health and safety training courses (SMSTS or IOSH Managing Safely and/or Integrated Incident Investigation</w:t>
      </w:r>
      <w:r w:rsidR="00622443">
        <w:t xml:space="preserve"> or similar</w:t>
      </w:r>
      <w:r>
        <w:t>).</w:t>
      </w:r>
    </w:p>
    <w:p w14:paraId="64362038" w14:textId="277AD024" w:rsidR="00532235" w:rsidRDefault="004F57DD" w:rsidP="00622443">
      <w:pPr>
        <w:pStyle w:val="ListNumber"/>
      </w:pPr>
      <w:r>
        <w:t>All persons engaged in RCA incident investigation must be technically competent and trained in accident investigation by attending safety training courses (SMSTS or IOSH Managing Safely and Integrated Incident Investigation</w:t>
      </w:r>
      <w:r w:rsidR="00622443">
        <w:t xml:space="preserve"> or similar</w:t>
      </w:r>
      <w:r>
        <w:t xml:space="preserve">). Where an investigation team has been established, </w:t>
      </w:r>
      <w:r w:rsidR="00622443">
        <w:t>one person is to be nominated lead investigator.</w:t>
      </w:r>
    </w:p>
    <w:p w14:paraId="2D4A4EF5" w14:textId="77777777" w:rsidR="004F57DD" w:rsidRDefault="004F57DD" w:rsidP="00165C7F">
      <w:pPr>
        <w:pStyle w:val="ListNumber"/>
        <w:numPr>
          <w:ilvl w:val="0"/>
          <w:numId w:val="0"/>
        </w:numPr>
        <w:ind w:left="720" w:hanging="720"/>
      </w:pPr>
    </w:p>
    <w:p w14:paraId="7D8FD811" w14:textId="77777777" w:rsidR="007E0955" w:rsidRPr="009F7CAB" w:rsidRDefault="007E0955" w:rsidP="00165C7F">
      <w:pPr>
        <w:pStyle w:val="ListNumber"/>
        <w:numPr>
          <w:ilvl w:val="0"/>
          <w:numId w:val="0"/>
        </w:numPr>
        <w:ind w:left="720" w:hanging="720"/>
      </w:pPr>
    </w:p>
    <w:p w14:paraId="19B7EFC7" w14:textId="77777777" w:rsidR="001C3D5F" w:rsidRDefault="001C3D5F" w:rsidP="00866FCC">
      <w:pPr>
        <w:pStyle w:val="AMainBodyText"/>
      </w:pPr>
      <w:bookmarkStart w:id="9" w:name="LastPage"/>
    </w:p>
    <w:bookmarkEnd w:id="9"/>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0F3E3AD1" w:rsidR="00213709" w:rsidRDefault="001C4054"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1F30256B" w:rsidR="00213709" w:rsidRDefault="00B42BAC" w:rsidP="00213709">
            <w:pPr>
              <w:pStyle w:val="ABackCoverStandardText"/>
              <w:framePr w:wrap="auto" w:vAnchor="margin" w:hAnchor="text" w:yAlign="inline"/>
              <w:suppressOverlap w:val="0"/>
            </w:pPr>
            <w:fldSimple w:instr=" DocProperty &quot;cpCompanyAddress&quot; ">
              <w:r w:rsidR="000049F4">
                <w:t>Buchan House, Quarry Road</w:t>
              </w:r>
            </w:fldSimple>
          </w:p>
        </w:tc>
      </w:tr>
      <w:tr w:rsidR="00213709" w14:paraId="7A55E555" w14:textId="77777777" w:rsidTr="00213709">
        <w:tc>
          <w:tcPr>
            <w:tcW w:w="9628" w:type="dxa"/>
          </w:tcPr>
          <w:p w14:paraId="424C0B2F" w14:textId="5E34029C" w:rsidR="00213709" w:rsidRDefault="00B42BAC" w:rsidP="00213709">
            <w:pPr>
              <w:pStyle w:val="ABackCoverStandardText"/>
              <w:framePr w:wrap="auto" w:vAnchor="margin" w:hAnchor="text" w:yAlign="inline"/>
              <w:suppressOverlap w:val="0"/>
            </w:pPr>
            <w:fldSimple w:instr=" DocProperty &quot;CpCompanyCity&quot; ">
              <w:r w:rsidR="000049F4">
                <w:t>Aberdeen</w:t>
              </w:r>
            </w:fldSimple>
          </w:p>
        </w:tc>
      </w:tr>
      <w:tr w:rsidR="00213709" w14:paraId="19581D9A" w14:textId="77777777" w:rsidTr="00213709">
        <w:tc>
          <w:tcPr>
            <w:tcW w:w="9628" w:type="dxa"/>
          </w:tcPr>
          <w:p w14:paraId="4C4BF739" w14:textId="367C45FD" w:rsidR="00213709" w:rsidRDefault="00B42BAC" w:rsidP="00213709">
            <w:pPr>
              <w:pStyle w:val="ABackCoverStandardText"/>
              <w:framePr w:wrap="auto" w:vAnchor="margin" w:hAnchor="text" w:yAlign="inline"/>
              <w:suppressOverlap w:val="0"/>
            </w:pPr>
            <w:fldSimple w:instr=" DocProperty &quot;CpCompanyPostcode&quot; ">
              <w:r w:rsidR="000049F4">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6FB33" w14:textId="77777777" w:rsidR="000B57F7" w:rsidRDefault="000B57F7" w:rsidP="00A6304B">
      <w:r>
        <w:separator/>
      </w:r>
    </w:p>
  </w:endnote>
  <w:endnote w:type="continuationSeparator" w:id="0">
    <w:p w14:paraId="31A8F4AA" w14:textId="77777777" w:rsidR="000B57F7" w:rsidRDefault="000B57F7"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3A228" w14:textId="77777777" w:rsidR="00B94C19" w:rsidRDefault="00B94C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18236" w14:textId="77777777" w:rsidR="00B94C19" w:rsidRDefault="00B94C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0A474" w14:textId="77777777" w:rsidR="00B94C19" w:rsidRDefault="00B94C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D0742D5" w:rsidR="007F7DFB" w:rsidRPr="00FC7B99" w:rsidRDefault="00B42BAC" w:rsidP="007F7DFB">
          <w:pPr>
            <w:pStyle w:val="AHeaderFooterLeft"/>
          </w:pPr>
          <w:fldSimple w:instr=" DocProperty &quot;Title&quot; ">
            <w:r w:rsidR="000049F4">
              <w:t>CAL-HS-PD-1020</w:t>
            </w:r>
          </w:fldSimple>
          <w:r w:rsidR="007F7DFB">
            <w:t xml:space="preserve"> </w:t>
          </w:r>
          <w:fldSimple w:instr=" DocProperty &quot;Subject&quot; ">
            <w:r w:rsidR="000049F4">
              <w:t>Accident Reporting &amp; Investigation</w:t>
            </w:r>
          </w:fldSimple>
          <w:r w:rsidR="007F7DFB">
            <w:t xml:space="preserve"> Issue:</w:t>
          </w:r>
          <w:fldSimple w:instr=" DocProperty &quot;cpRevision&quot; ">
            <w:r w:rsidR="000049F4">
              <w:t>01</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411E224" w:rsidR="001C3D5F" w:rsidRPr="00FC7B99" w:rsidRDefault="00B94C19" w:rsidP="001C3D5F">
          <w:pPr>
            <w:pStyle w:val="AHeaderFooterLeft"/>
          </w:pPr>
          <w:fldSimple w:instr=" DocProperty &quot;Title&quot; ">
            <w:r w:rsidR="000049F4">
              <w:t>CAL-HS-PD-1020</w:t>
            </w:r>
          </w:fldSimple>
          <w:r w:rsidR="001C3D5F">
            <w:t xml:space="preserve"> </w:t>
          </w:r>
          <w:fldSimple w:instr=" DocProperty &quot;Subject&quot; ">
            <w:r w:rsidR="000049F4">
              <w:t>Accident Reporting &amp; Investigation</w:t>
            </w:r>
          </w:fldSimple>
          <w:r w:rsidR="001C3D5F">
            <w:t xml:space="preserve"> Issue:</w:t>
          </w:r>
          <w:fldSimple w:instr=" DocProperty &quot;cpRevision&quot; ">
            <w:r w:rsidR="000049F4">
              <w:t>01</w:t>
            </w:r>
          </w:fldSimple>
          <w:r w:rsidR="001C3D5F">
            <w:t xml:space="preserve">, Issue Date: </w:t>
          </w:r>
          <w:fldSimple w:instr=" DocProperty &quot;cpIssueDate&quot; ">
            <w:r w:rsidR="000049F4">
              <w:t>28 Oct 2024</w:t>
            </w:r>
          </w:fldSimple>
        </w:p>
      </w:tc>
      <w:tc>
        <w:tcPr>
          <w:tcW w:w="992" w:type="dxa"/>
        </w:tcPr>
        <w:p w14:paraId="695EACA7" w14:textId="2619A257"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049F4">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145C7" w14:textId="77777777" w:rsidR="000B57F7" w:rsidRDefault="000B57F7" w:rsidP="00A6304B">
      <w:r>
        <w:separator/>
      </w:r>
    </w:p>
  </w:footnote>
  <w:footnote w:type="continuationSeparator" w:id="0">
    <w:p w14:paraId="2F5D413C" w14:textId="77777777" w:rsidR="000B57F7" w:rsidRDefault="000B57F7"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F1631" w14:textId="77777777" w:rsidR="00B94C19" w:rsidRDefault="00B94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37E83" w14:textId="77777777" w:rsidR="00B94C19" w:rsidRDefault="00B94C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8FD80" w14:textId="77777777" w:rsidR="00B94C19" w:rsidRDefault="00B94C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F509AB">
      <w:trPr>
        <w:trHeight w:val="1276"/>
        <w:jc w:val="center"/>
      </w:trPr>
      <w:sdt>
        <w:sdtPr>
          <w:alias w:val="ccLogo"/>
          <w:tag w:val="ccHeaders"/>
          <w:id w:val="-720748982"/>
          <w:picture/>
        </w:sdtPr>
        <w:sdtEndPr/>
        <w:sdtContent>
          <w:tc>
            <w:tcPr>
              <w:tcW w:w="2268" w:type="dxa"/>
              <w:vAlign w:val="center"/>
            </w:tcPr>
            <w:p w14:paraId="463371B8" w14:textId="3FC0AF13" w:rsidR="00866FCC" w:rsidRDefault="00B42BAC" w:rsidP="00F509AB">
              <w:pPr>
                <w:pStyle w:val="Header"/>
                <w:jc w:val="center"/>
              </w:pPr>
              <w:r>
                <w:rPr>
                  <w:noProof/>
                </w:rPr>
                <w:drawing>
                  <wp:inline distT="0" distB="0" distL="0" distR="0" wp14:anchorId="5E095207" wp14:editId="4AD860CC">
                    <wp:extent cx="1440000" cy="416508"/>
                    <wp:effectExtent l="0" t="0" r="0" b="3175"/>
                    <wp:docPr id="243201127" name="Picture 4"/>
                    <wp:cNvGraphicFramePr/>
                    <a:graphic xmlns:a="http://schemas.openxmlformats.org/drawingml/2006/main">
                      <a:graphicData uri="http://schemas.openxmlformats.org/drawingml/2006/picture">
                        <pic:pic xmlns:pic="http://schemas.openxmlformats.org/drawingml/2006/picture">
                          <pic:nvPicPr>
                            <pic:cNvPr id="24320112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139E0363" w:rsidR="00866FCC" w:rsidRDefault="00B42BAC" w:rsidP="001666EA">
          <w:pPr>
            <w:pStyle w:val="AHeaderFooterCentre"/>
          </w:pPr>
          <w:fldSimple w:instr=" DocProperty &quot;Title&quot; ">
            <w:r w:rsidR="000049F4">
              <w:t>CAL-HS-PD-1020</w:t>
            </w:r>
          </w:fldSimple>
          <w:r w:rsidR="00866FCC">
            <w:t>-</w:t>
          </w:r>
          <w:fldSimple w:instr=" DocProperty &quot;Subject&quot; ">
            <w:r w:rsidR="000049F4">
              <w:t>Accident Reporting &amp; Investigation</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0341028">
    <w:abstractNumId w:val="3"/>
  </w:num>
  <w:num w:numId="2" w16cid:durableId="1666739295">
    <w:abstractNumId w:val="0"/>
  </w:num>
  <w:num w:numId="3" w16cid:durableId="1943489121">
    <w:abstractNumId w:val="1"/>
  </w:num>
  <w:num w:numId="4" w16cid:durableId="288780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3394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6735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82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8813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79158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9451474">
    <w:abstractNumId w:val="0"/>
  </w:num>
  <w:num w:numId="11" w16cid:durableId="1030179837">
    <w:abstractNumId w:val="0"/>
  </w:num>
  <w:num w:numId="12" w16cid:durableId="656374158">
    <w:abstractNumId w:val="1"/>
  </w:num>
  <w:num w:numId="13" w16cid:durableId="2040036568">
    <w:abstractNumId w:val="1"/>
  </w:num>
  <w:num w:numId="14" w16cid:durableId="126244987">
    <w:abstractNumId w:val="1"/>
  </w:num>
  <w:num w:numId="15" w16cid:durableId="1538933806">
    <w:abstractNumId w:val="1"/>
  </w:num>
  <w:num w:numId="16" w16cid:durableId="118963136">
    <w:abstractNumId w:val="0"/>
  </w:num>
  <w:num w:numId="17" w16cid:durableId="1033993899">
    <w:abstractNumId w:val="1"/>
  </w:num>
  <w:num w:numId="18" w16cid:durableId="1856457441">
    <w:abstractNumId w:val="1"/>
  </w:num>
  <w:num w:numId="19" w16cid:durableId="462967290">
    <w:abstractNumId w:val="0"/>
  </w:num>
  <w:num w:numId="20" w16cid:durableId="158429989">
    <w:abstractNumId w:val="0"/>
  </w:num>
  <w:num w:numId="21" w16cid:durableId="1561137773">
    <w:abstractNumId w:val="1"/>
  </w:num>
  <w:num w:numId="22" w16cid:durableId="1696467017">
    <w:abstractNumId w:val="0"/>
  </w:num>
  <w:num w:numId="23" w16cid:durableId="98402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7437469">
    <w:abstractNumId w:val="0"/>
  </w:num>
  <w:num w:numId="25" w16cid:durableId="1628506196">
    <w:abstractNumId w:val="4"/>
  </w:num>
  <w:num w:numId="26" w16cid:durableId="1546601400">
    <w:abstractNumId w:val="2"/>
  </w:num>
  <w:num w:numId="27" w16cid:durableId="5603628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65596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5437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76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11672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487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0375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49F4"/>
    <w:rsid w:val="00015584"/>
    <w:rsid w:val="000206B2"/>
    <w:rsid w:val="00041476"/>
    <w:rsid w:val="000517D5"/>
    <w:rsid w:val="00075279"/>
    <w:rsid w:val="000A0C7F"/>
    <w:rsid w:val="000B57F7"/>
    <w:rsid w:val="00135E5E"/>
    <w:rsid w:val="00154E4A"/>
    <w:rsid w:val="00165C7F"/>
    <w:rsid w:val="001666EA"/>
    <w:rsid w:val="00185D68"/>
    <w:rsid w:val="001B6ADE"/>
    <w:rsid w:val="001C3D5F"/>
    <w:rsid w:val="001C3E86"/>
    <w:rsid w:val="001C4054"/>
    <w:rsid w:val="001C5616"/>
    <w:rsid w:val="001F0B86"/>
    <w:rsid w:val="00213709"/>
    <w:rsid w:val="00227018"/>
    <w:rsid w:val="00230DC8"/>
    <w:rsid w:val="002316EB"/>
    <w:rsid w:val="00234B56"/>
    <w:rsid w:val="00237FA4"/>
    <w:rsid w:val="0027373A"/>
    <w:rsid w:val="002753E0"/>
    <w:rsid w:val="00287131"/>
    <w:rsid w:val="002A012B"/>
    <w:rsid w:val="002A08E1"/>
    <w:rsid w:val="002B21B8"/>
    <w:rsid w:val="002C1CE5"/>
    <w:rsid w:val="002D1360"/>
    <w:rsid w:val="003129B5"/>
    <w:rsid w:val="00317154"/>
    <w:rsid w:val="00331D1B"/>
    <w:rsid w:val="0034180E"/>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4301"/>
    <w:rsid w:val="00455633"/>
    <w:rsid w:val="004D23D1"/>
    <w:rsid w:val="004F57DD"/>
    <w:rsid w:val="00505340"/>
    <w:rsid w:val="00514AD9"/>
    <w:rsid w:val="00515B70"/>
    <w:rsid w:val="00532235"/>
    <w:rsid w:val="00552FB9"/>
    <w:rsid w:val="00554832"/>
    <w:rsid w:val="00555663"/>
    <w:rsid w:val="005703B9"/>
    <w:rsid w:val="005760F4"/>
    <w:rsid w:val="005A0B53"/>
    <w:rsid w:val="005A544B"/>
    <w:rsid w:val="0060025F"/>
    <w:rsid w:val="00611F0C"/>
    <w:rsid w:val="00613E8A"/>
    <w:rsid w:val="00622443"/>
    <w:rsid w:val="00675E9E"/>
    <w:rsid w:val="00683A25"/>
    <w:rsid w:val="006940CD"/>
    <w:rsid w:val="0069758C"/>
    <w:rsid w:val="006A67F3"/>
    <w:rsid w:val="006B2899"/>
    <w:rsid w:val="0070720C"/>
    <w:rsid w:val="00713B8E"/>
    <w:rsid w:val="00722589"/>
    <w:rsid w:val="0075785F"/>
    <w:rsid w:val="00784287"/>
    <w:rsid w:val="00795597"/>
    <w:rsid w:val="007A6E5D"/>
    <w:rsid w:val="007B45CE"/>
    <w:rsid w:val="007C07FC"/>
    <w:rsid w:val="007C2906"/>
    <w:rsid w:val="007D71D2"/>
    <w:rsid w:val="007E0955"/>
    <w:rsid w:val="007F7DFB"/>
    <w:rsid w:val="00802E30"/>
    <w:rsid w:val="008459E9"/>
    <w:rsid w:val="008539CF"/>
    <w:rsid w:val="00866FCC"/>
    <w:rsid w:val="00882821"/>
    <w:rsid w:val="00892B6F"/>
    <w:rsid w:val="008A4146"/>
    <w:rsid w:val="008D2924"/>
    <w:rsid w:val="008E412C"/>
    <w:rsid w:val="00927C30"/>
    <w:rsid w:val="009366F2"/>
    <w:rsid w:val="00950686"/>
    <w:rsid w:val="00990DE2"/>
    <w:rsid w:val="009A0E2F"/>
    <w:rsid w:val="009A67C0"/>
    <w:rsid w:val="009B1BCC"/>
    <w:rsid w:val="009E2522"/>
    <w:rsid w:val="009E79A7"/>
    <w:rsid w:val="009F7CAB"/>
    <w:rsid w:val="00A04458"/>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42BAC"/>
    <w:rsid w:val="00B55FD8"/>
    <w:rsid w:val="00B903E6"/>
    <w:rsid w:val="00B9392C"/>
    <w:rsid w:val="00B94C19"/>
    <w:rsid w:val="00BA09F8"/>
    <w:rsid w:val="00BA5971"/>
    <w:rsid w:val="00BE58D0"/>
    <w:rsid w:val="00BF44B2"/>
    <w:rsid w:val="00C23696"/>
    <w:rsid w:val="00C2625F"/>
    <w:rsid w:val="00C50999"/>
    <w:rsid w:val="00C727AA"/>
    <w:rsid w:val="00C835C2"/>
    <w:rsid w:val="00C87E45"/>
    <w:rsid w:val="00CA1880"/>
    <w:rsid w:val="00D10EC6"/>
    <w:rsid w:val="00D3521A"/>
    <w:rsid w:val="00D35DF3"/>
    <w:rsid w:val="00D51412"/>
    <w:rsid w:val="00D61280"/>
    <w:rsid w:val="00D842A1"/>
    <w:rsid w:val="00D86BA3"/>
    <w:rsid w:val="00DC1899"/>
    <w:rsid w:val="00DE03A2"/>
    <w:rsid w:val="00E154FC"/>
    <w:rsid w:val="00E206DC"/>
    <w:rsid w:val="00E356F9"/>
    <w:rsid w:val="00E56809"/>
    <w:rsid w:val="00E60A83"/>
    <w:rsid w:val="00E720AD"/>
    <w:rsid w:val="00E728B9"/>
    <w:rsid w:val="00E8365C"/>
    <w:rsid w:val="00EA344E"/>
    <w:rsid w:val="00EC5D3A"/>
    <w:rsid w:val="00ED074F"/>
    <w:rsid w:val="00ED3F96"/>
    <w:rsid w:val="00F325B5"/>
    <w:rsid w:val="00F436F4"/>
    <w:rsid w:val="00F504C4"/>
    <w:rsid w:val="00F509AB"/>
    <w:rsid w:val="00F62E38"/>
    <w:rsid w:val="00F675CB"/>
    <w:rsid w:val="00F84322"/>
    <w:rsid w:val="00FA4345"/>
    <w:rsid w:val="00FB2ADE"/>
    <w:rsid w:val="00FB6384"/>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nhideWhenUsed/>
    <w:qFormat/>
    <w:rsid w:val="00B55FD8"/>
    <w:pPr>
      <w:spacing w:after="0"/>
    </w:pPr>
    <w:rPr>
      <w:color w:val="000000" w:themeColor="text1"/>
      <w:sz w:val="20"/>
    </w:rPr>
  </w:style>
  <w:style w:type="character" w:customStyle="1" w:styleId="HeaderChar">
    <w:name w:val="Header Char"/>
    <w:basedOn w:val="DefaultParagraphFont"/>
    <w:link w:val="Header"/>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1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2A76B-05B2-4C5D-AC96-6981D408899B}">
  <ds:schemaRefs>
    <ds:schemaRef ds:uri="http://purl.org/dc/terms/"/>
    <ds:schemaRef ds:uri="503c78ab-065d-407b-aab1-dce0e809da11"/>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infopath/2007/PartnerControls"/>
    <ds:schemaRef ds:uri="494463d7-a150-4157-98e7-6f3078a7b388"/>
  </ds:schemaRefs>
</ds:datastoreItem>
</file>

<file path=customXml/itemProps2.xml><?xml version="1.0" encoding="utf-8"?>
<ds:datastoreItem xmlns:ds="http://schemas.openxmlformats.org/officeDocument/2006/customXml" ds:itemID="{785958A5-9D1C-4AF2-927C-3A76C14CBC46}">
  <ds:schemaRefs>
    <ds:schemaRef ds:uri="http://schemas.microsoft.com/sharepoint/v3/contenttype/forms"/>
  </ds:schemaRefs>
</ds:datastoreItem>
</file>

<file path=customXml/itemProps3.xml><?xml version="1.0" encoding="utf-8"?>
<ds:datastoreItem xmlns:ds="http://schemas.openxmlformats.org/officeDocument/2006/customXml" ds:itemID="{01118871-1366-4DDF-A1D9-70A9EB00F263}"/>
</file>

<file path=customXml/itemProps4.xml><?xml version="1.0" encoding="utf-8"?>
<ds:datastoreItem xmlns:ds="http://schemas.openxmlformats.org/officeDocument/2006/customXml" ds:itemID="{316F9EA7-87B5-4FEF-BA4B-41E2C682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36</TotalTime>
  <Pages>8</Pages>
  <Words>1387</Words>
  <Characters>7490</Characters>
  <Application>Microsoft Office Word</Application>
  <DocSecurity>0</DocSecurity>
  <Lines>249</Lines>
  <Paragraphs>123</Paragraphs>
  <ScaleCrop>false</ScaleCrop>
  <HeadingPairs>
    <vt:vector size="2" baseType="variant">
      <vt:variant>
        <vt:lpstr>Title</vt:lpstr>
      </vt:variant>
      <vt:variant>
        <vt:i4>1</vt:i4>
      </vt:variant>
    </vt:vector>
  </HeadingPairs>
  <TitlesOfParts>
    <vt:vector size="1" baseType="lpstr">
      <vt:lpstr>CAL-HS-PD-1020</vt:lpstr>
    </vt:vector>
  </TitlesOfParts>
  <Manager>Director</Manager>
  <Company>Calforth Construction Ltd</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CAL-HS-PD-1020</dc:title>
  <dc:subject>Accident Reporting &amp; Investigation</dc:subject>
  <dc:creator>Fraser Morrison</dc:creator>
  <cp:keywords/>
  <dc:description/>
  <cp:lastModifiedBy>Fraser Morrison | M2Safety</cp:lastModifiedBy>
  <cp:revision>34</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