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005E3DEA" w:rsidR="00E75EBE" w:rsidRPr="006B052A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6E349232">
        <w:rPr>
          <w:rFonts w:ascii="Arial" w:hAnsi="Arial" w:cs="Arial"/>
          <w:sz w:val="22"/>
          <w:szCs w:val="22"/>
        </w:rPr>
        <w:t>written</w:t>
      </w:r>
      <w:r w:rsidRPr="6E349232">
        <w:rPr>
          <w:rFonts w:ascii="Arial" w:hAnsi="Arial" w:cs="Arial"/>
          <w:sz w:val="22"/>
          <w:szCs w:val="22"/>
        </w:rPr>
        <w:t xml:space="preserve"> and reviewed </w:t>
      </w:r>
      <w:r w:rsidR="00FF50AE" w:rsidRPr="006B052A">
        <w:rPr>
          <w:rFonts w:ascii="Arial" w:hAnsi="Arial" w:cs="Arial"/>
          <w:sz w:val="22"/>
          <w:szCs w:val="22"/>
        </w:rPr>
        <w:t>annually</w:t>
      </w:r>
      <w:r w:rsidR="1807DDB9" w:rsidRPr="006B052A">
        <w:rPr>
          <w:rFonts w:ascii="Arial" w:hAnsi="Arial" w:cs="Arial"/>
          <w:sz w:val="22"/>
          <w:szCs w:val="22"/>
        </w:rPr>
        <w:t xml:space="preserve"> </w:t>
      </w:r>
      <w:r w:rsidR="1807DDB9" w:rsidRPr="006B052A">
        <w:rPr>
          <w:rFonts w:ascii="Arial" w:hAnsi="Arial" w:cs="Arial"/>
          <w:b/>
          <w:bCs/>
          <w:sz w:val="22"/>
          <w:szCs w:val="22"/>
        </w:rPr>
        <w:t>as a minimum or when there is a change in practice or legislation.</w:t>
      </w:r>
    </w:p>
    <w:p w14:paraId="3D4053AB" w14:textId="0E0519BF" w:rsidR="00FF50AE" w:rsidRPr="006B052A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B052A">
        <w:rPr>
          <w:rFonts w:ascii="Arial" w:hAnsi="Arial" w:cs="Arial"/>
          <w:sz w:val="22"/>
          <w:szCs w:val="22"/>
        </w:rPr>
        <w:t>C</w:t>
      </w:r>
      <w:r w:rsidR="008078FF" w:rsidRPr="006B052A">
        <w:rPr>
          <w:rFonts w:ascii="Arial" w:hAnsi="Arial" w:cs="Arial"/>
          <w:sz w:val="22"/>
          <w:szCs w:val="22"/>
        </w:rPr>
        <w:t>hange</w:t>
      </w:r>
      <w:r w:rsidRPr="006B052A">
        <w:rPr>
          <w:rFonts w:ascii="Arial" w:hAnsi="Arial" w:cs="Arial"/>
          <w:sz w:val="22"/>
          <w:szCs w:val="22"/>
        </w:rPr>
        <w:t>s are only made to the</w:t>
      </w:r>
      <w:r w:rsidR="00FF50AE" w:rsidRPr="006B052A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006B052A">
        <w:rPr>
          <w:rFonts w:ascii="Arial" w:hAnsi="Arial" w:cs="Arial"/>
          <w:sz w:val="22"/>
          <w:szCs w:val="22"/>
        </w:rPr>
        <w:t xml:space="preserve"> </w:t>
      </w:r>
      <w:r w:rsidR="00205284" w:rsidRPr="006B052A">
        <w:rPr>
          <w:rFonts w:ascii="Arial" w:hAnsi="Arial" w:cs="Arial"/>
          <w:sz w:val="22"/>
          <w:szCs w:val="22"/>
        </w:rPr>
        <w:t xml:space="preserve">by the </w:t>
      </w:r>
      <w:r w:rsidR="006B052A" w:rsidRPr="006B052A">
        <w:rPr>
          <w:rFonts w:ascii="Arial" w:hAnsi="Arial" w:cs="Arial"/>
          <w:sz w:val="22"/>
          <w:szCs w:val="22"/>
        </w:rPr>
        <w:t>Committee</w:t>
      </w:r>
      <w:r w:rsidR="00205284" w:rsidRPr="006B052A">
        <w:rPr>
          <w:rFonts w:ascii="Arial" w:hAnsi="Arial" w:cs="Arial"/>
          <w:sz w:val="22"/>
          <w:szCs w:val="22"/>
        </w:rPr>
        <w:t xml:space="preserve"> </w:t>
      </w:r>
      <w:r w:rsidR="307B6541" w:rsidRPr="006B052A">
        <w:rPr>
          <w:rFonts w:ascii="Arial" w:hAnsi="Arial" w:cs="Arial"/>
          <w:sz w:val="22"/>
          <w:szCs w:val="22"/>
        </w:rPr>
        <w:t xml:space="preserve">of </w:t>
      </w:r>
      <w:r w:rsidR="006B052A" w:rsidRPr="006B052A">
        <w:rPr>
          <w:rFonts w:ascii="Arial" w:hAnsi="Arial" w:cs="Arial"/>
          <w:b/>
          <w:bCs/>
          <w:sz w:val="22"/>
          <w:szCs w:val="22"/>
        </w:rPr>
        <w:t xml:space="preserve">Castor and Ailsworth Preschool </w:t>
      </w:r>
      <w:r w:rsidR="00205284" w:rsidRPr="006B052A">
        <w:rPr>
          <w:rFonts w:ascii="Arial" w:hAnsi="Arial" w:cs="Arial"/>
          <w:sz w:val="22"/>
          <w:szCs w:val="22"/>
        </w:rPr>
        <w:t xml:space="preserve">in liaison with the setting manager </w:t>
      </w:r>
      <w:r w:rsidR="00FF50AE" w:rsidRPr="006B052A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006B052A">
        <w:rPr>
          <w:rFonts w:ascii="Arial" w:hAnsi="Arial" w:cs="Arial"/>
          <w:sz w:val="22"/>
          <w:szCs w:val="22"/>
        </w:rPr>
        <w:t>or other reasons</w:t>
      </w:r>
      <w:r w:rsidR="00FF50AE" w:rsidRPr="006B052A">
        <w:rPr>
          <w:rFonts w:ascii="Arial" w:hAnsi="Arial" w:cs="Arial"/>
          <w:sz w:val="22"/>
          <w:szCs w:val="22"/>
        </w:rPr>
        <w:t xml:space="preserve"> indicate that </w:t>
      </w:r>
      <w:r w:rsidR="0080232A" w:rsidRPr="006B052A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6B052A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B052A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6B052A">
        <w:rPr>
          <w:rFonts w:ascii="Arial" w:hAnsi="Arial" w:cs="Arial"/>
          <w:sz w:val="22"/>
          <w:szCs w:val="22"/>
        </w:rPr>
        <w:t xml:space="preserve"> and reviewed</w:t>
      </w:r>
      <w:r w:rsidR="00A7312D" w:rsidRPr="006B052A">
        <w:rPr>
          <w:rFonts w:ascii="Arial" w:hAnsi="Arial" w:cs="Arial"/>
          <w:sz w:val="22"/>
          <w:szCs w:val="22"/>
        </w:rPr>
        <w:t xml:space="preserve"> </w:t>
      </w:r>
      <w:r w:rsidRPr="006B052A">
        <w:rPr>
          <w:rFonts w:ascii="Arial" w:hAnsi="Arial" w:cs="Arial"/>
          <w:sz w:val="22"/>
          <w:szCs w:val="22"/>
        </w:rPr>
        <w:t>following any incident that is reportable under RIDDOR</w:t>
      </w:r>
      <w:r w:rsidR="00ED5414" w:rsidRPr="006B052A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6B052A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B052A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6B052A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6B052A">
        <w:rPr>
          <w:rFonts w:ascii="Arial" w:hAnsi="Arial" w:cs="Arial"/>
          <w:b/>
          <w:sz w:val="22"/>
          <w:szCs w:val="22"/>
        </w:rPr>
        <w:t>Familiarisation and i</w:t>
      </w:r>
      <w:r w:rsidR="00E75EBE" w:rsidRPr="006B052A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01324A7B" w:rsidR="00E75EBE" w:rsidRPr="006B052A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B052A">
        <w:rPr>
          <w:rFonts w:ascii="Arial" w:hAnsi="Arial" w:cs="Arial"/>
          <w:sz w:val="22"/>
          <w:szCs w:val="22"/>
        </w:rPr>
        <w:t>It is the responsibility of</w:t>
      </w:r>
      <w:r w:rsidR="00074E28" w:rsidRPr="006B052A">
        <w:rPr>
          <w:rFonts w:ascii="Arial" w:hAnsi="Arial" w:cs="Arial"/>
          <w:sz w:val="22"/>
          <w:szCs w:val="22"/>
        </w:rPr>
        <w:t xml:space="preserve"> every member of staff, </w:t>
      </w:r>
      <w:r w:rsidR="001C11A8" w:rsidRPr="006B052A">
        <w:rPr>
          <w:rFonts w:ascii="Arial" w:hAnsi="Arial" w:cs="Arial"/>
          <w:sz w:val="22"/>
          <w:szCs w:val="22"/>
        </w:rPr>
        <w:t>agency worker,</w:t>
      </w:r>
      <w:r w:rsidR="006D0C57">
        <w:rPr>
          <w:rFonts w:ascii="Arial" w:hAnsi="Arial" w:cs="Arial"/>
          <w:sz w:val="22"/>
          <w:szCs w:val="22"/>
        </w:rPr>
        <w:t xml:space="preserve"> committee</w:t>
      </w:r>
      <w:r w:rsidR="00E31583">
        <w:rPr>
          <w:rFonts w:ascii="Arial" w:hAnsi="Arial" w:cs="Arial"/>
          <w:sz w:val="22"/>
          <w:szCs w:val="22"/>
        </w:rPr>
        <w:t xml:space="preserve"> member,</w:t>
      </w:r>
      <w:r w:rsidR="001C11A8" w:rsidRPr="006B052A">
        <w:rPr>
          <w:rFonts w:ascii="Arial" w:hAnsi="Arial" w:cs="Arial"/>
          <w:sz w:val="22"/>
          <w:szCs w:val="22"/>
        </w:rPr>
        <w:t xml:space="preserve"> </w:t>
      </w:r>
      <w:r w:rsidR="1B081768" w:rsidRPr="006B052A">
        <w:rPr>
          <w:rFonts w:ascii="Arial" w:hAnsi="Arial" w:cs="Arial"/>
          <w:sz w:val="22"/>
          <w:szCs w:val="22"/>
        </w:rPr>
        <w:t xml:space="preserve">assistant, </w:t>
      </w:r>
      <w:r w:rsidR="006A6EA2" w:rsidRPr="006B052A">
        <w:rPr>
          <w:rFonts w:ascii="Arial" w:hAnsi="Arial" w:cs="Arial"/>
          <w:sz w:val="22"/>
          <w:szCs w:val="22"/>
        </w:rPr>
        <w:t>volunteer and student</w:t>
      </w:r>
      <w:r w:rsidRPr="006B052A">
        <w:rPr>
          <w:rFonts w:ascii="Arial" w:hAnsi="Arial" w:cs="Arial"/>
          <w:sz w:val="22"/>
          <w:szCs w:val="22"/>
        </w:rPr>
        <w:t xml:space="preserve"> </w:t>
      </w:r>
      <w:r w:rsidR="34DCF74A" w:rsidRPr="006B052A">
        <w:rPr>
          <w:rFonts w:ascii="Arial" w:hAnsi="Arial" w:cs="Arial"/>
          <w:sz w:val="22"/>
          <w:szCs w:val="22"/>
        </w:rPr>
        <w:t>(hereon referred to as staff</w:t>
      </w:r>
      <w:r w:rsidR="47B20F93" w:rsidRPr="006B052A">
        <w:rPr>
          <w:rFonts w:ascii="Arial" w:hAnsi="Arial" w:cs="Arial"/>
          <w:sz w:val="22"/>
          <w:szCs w:val="22"/>
        </w:rPr>
        <w:t xml:space="preserve"> for clarity</w:t>
      </w:r>
      <w:r w:rsidR="34DCF74A" w:rsidRPr="006B052A">
        <w:rPr>
          <w:rFonts w:ascii="Arial" w:hAnsi="Arial" w:cs="Arial"/>
          <w:sz w:val="22"/>
          <w:szCs w:val="22"/>
        </w:rPr>
        <w:t xml:space="preserve">), </w:t>
      </w:r>
      <w:r w:rsidRPr="006B052A">
        <w:rPr>
          <w:rFonts w:ascii="Arial" w:hAnsi="Arial" w:cs="Arial"/>
          <w:sz w:val="22"/>
          <w:szCs w:val="22"/>
        </w:rPr>
        <w:t xml:space="preserve">within </w:t>
      </w:r>
      <w:r w:rsidR="00240333" w:rsidRPr="006B052A">
        <w:rPr>
          <w:rFonts w:ascii="Arial" w:hAnsi="Arial" w:cs="Arial"/>
          <w:sz w:val="22"/>
          <w:szCs w:val="22"/>
        </w:rPr>
        <w:t xml:space="preserve">the </w:t>
      </w:r>
      <w:r w:rsidRPr="006B052A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006B052A">
        <w:rPr>
          <w:rFonts w:ascii="Arial" w:hAnsi="Arial" w:cs="Arial"/>
          <w:sz w:val="22"/>
          <w:szCs w:val="22"/>
        </w:rPr>
        <w:t>always implement the policies and procedures</w:t>
      </w:r>
      <w:r w:rsidRPr="006B052A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B052A">
        <w:rPr>
          <w:rFonts w:ascii="Arial" w:hAnsi="Arial" w:cs="Arial"/>
          <w:sz w:val="22"/>
          <w:szCs w:val="22"/>
        </w:rPr>
        <w:t xml:space="preserve">The </w:t>
      </w:r>
      <w:r w:rsidR="00612EE2" w:rsidRPr="006B052A">
        <w:rPr>
          <w:rFonts w:ascii="Arial" w:hAnsi="Arial" w:cs="Arial"/>
          <w:sz w:val="22"/>
          <w:szCs w:val="22"/>
        </w:rPr>
        <w:t xml:space="preserve">setting </w:t>
      </w:r>
      <w:r w:rsidR="00AD0FD6" w:rsidRPr="006B052A">
        <w:rPr>
          <w:rFonts w:ascii="Arial" w:hAnsi="Arial" w:cs="Arial"/>
          <w:sz w:val="22"/>
          <w:szCs w:val="22"/>
        </w:rPr>
        <w:t xml:space="preserve">manager </w:t>
      </w:r>
      <w:r w:rsidR="00D11585" w:rsidRPr="006B052A">
        <w:rPr>
          <w:rFonts w:ascii="Arial" w:hAnsi="Arial" w:cs="Arial"/>
          <w:sz w:val="22"/>
          <w:szCs w:val="22"/>
        </w:rPr>
        <w:t>offer</w:t>
      </w:r>
      <w:r w:rsidRPr="006B052A">
        <w:rPr>
          <w:rFonts w:ascii="Arial" w:hAnsi="Arial" w:cs="Arial"/>
          <w:sz w:val="22"/>
          <w:szCs w:val="22"/>
        </w:rPr>
        <w:t>s</w:t>
      </w:r>
      <w:r w:rsidR="00D11585" w:rsidRPr="006B052A">
        <w:rPr>
          <w:rFonts w:ascii="Arial" w:hAnsi="Arial" w:cs="Arial"/>
          <w:sz w:val="22"/>
          <w:szCs w:val="22"/>
        </w:rPr>
        <w:t xml:space="preserve"> advice and support to </w:t>
      </w:r>
      <w:r w:rsidRPr="006B052A">
        <w:rPr>
          <w:rFonts w:ascii="Arial" w:hAnsi="Arial" w:cs="Arial"/>
          <w:sz w:val="22"/>
          <w:szCs w:val="22"/>
        </w:rPr>
        <w:t>staff</w:t>
      </w:r>
      <w:r w:rsidR="00D11585" w:rsidRPr="006B052A">
        <w:rPr>
          <w:rFonts w:ascii="Arial" w:hAnsi="Arial" w:cs="Arial"/>
          <w:sz w:val="22"/>
          <w:szCs w:val="22"/>
        </w:rPr>
        <w:t xml:space="preserve"> </w:t>
      </w:r>
      <w:r w:rsidR="00731621" w:rsidRPr="006B052A">
        <w:rPr>
          <w:rFonts w:ascii="Arial" w:hAnsi="Arial" w:cs="Arial"/>
          <w:sz w:val="22"/>
          <w:szCs w:val="22"/>
        </w:rPr>
        <w:t>regarding</w:t>
      </w:r>
      <w:r w:rsidR="00D11585" w:rsidRPr="006B052A">
        <w:rPr>
          <w:rFonts w:ascii="Arial" w:hAnsi="Arial" w:cs="Arial"/>
          <w:sz w:val="22"/>
          <w:szCs w:val="22"/>
        </w:rPr>
        <w:t xml:space="preserve"> procedure implementation</w:t>
      </w:r>
      <w:r w:rsidR="00D11585" w:rsidRPr="0090603F">
        <w:rPr>
          <w:rFonts w:ascii="Arial" w:hAnsi="Arial" w:cs="Arial"/>
          <w:sz w:val="22"/>
          <w:szCs w:val="22"/>
        </w:rPr>
        <w:t>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1BC8D68E" w:rsidR="00E670CC" w:rsidRPr="0090603F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</w:t>
      </w:r>
      <w:r w:rsidR="005E158C" w:rsidRPr="1AA7C920">
        <w:rPr>
          <w:rFonts w:ascii="Arial" w:hAnsi="Arial" w:cs="Arial"/>
          <w:sz w:val="22"/>
          <w:szCs w:val="22"/>
        </w:rPr>
        <w:t>rents</w:t>
      </w:r>
      <w:r w:rsidR="33FB8180" w:rsidRPr="1AA7C920">
        <w:rPr>
          <w:rFonts w:ascii="Arial" w:hAnsi="Arial" w:cs="Arial"/>
          <w:sz w:val="22"/>
          <w:szCs w:val="22"/>
        </w:rPr>
        <w:t>/carers</w:t>
      </w:r>
      <w:r w:rsidR="005E158C" w:rsidRPr="1AA7C920">
        <w:rPr>
          <w:rFonts w:ascii="Arial" w:hAnsi="Arial" w:cs="Arial"/>
          <w:sz w:val="22"/>
          <w:szCs w:val="22"/>
        </w:rPr>
        <w:t xml:space="preserve"> know how to </w:t>
      </w:r>
      <w:r w:rsidRPr="1AA7C920">
        <w:rPr>
          <w:rFonts w:ascii="Arial" w:hAnsi="Arial" w:cs="Arial"/>
          <w:sz w:val="22"/>
          <w:szCs w:val="22"/>
        </w:rPr>
        <w:t xml:space="preserve">access </w:t>
      </w:r>
      <w:r w:rsidR="00C174D0" w:rsidRPr="1AA7C920">
        <w:rPr>
          <w:rFonts w:ascii="Arial" w:hAnsi="Arial" w:cs="Arial"/>
          <w:sz w:val="22"/>
          <w:szCs w:val="22"/>
        </w:rPr>
        <w:t>a</w:t>
      </w:r>
      <w:r w:rsidRPr="1AA7C920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1AA7C920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Parent</w:t>
      </w:r>
      <w:r w:rsidR="0AF1F0A7" w:rsidRPr="1AA7C920">
        <w:rPr>
          <w:rFonts w:ascii="Arial" w:hAnsi="Arial" w:cs="Arial"/>
          <w:sz w:val="22"/>
          <w:szCs w:val="22"/>
        </w:rPr>
        <w:t>/carer</w:t>
      </w:r>
      <w:r w:rsidRPr="1AA7C920">
        <w:rPr>
          <w:rFonts w:ascii="Arial" w:hAnsi="Arial" w:cs="Arial"/>
          <w:sz w:val="22"/>
          <w:szCs w:val="22"/>
        </w:rPr>
        <w:t xml:space="preserve"> forums (if in place)</w:t>
      </w:r>
      <w:r w:rsidR="00E670CC" w:rsidRPr="1AA7C920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1AA7C920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1AA7C920">
        <w:rPr>
          <w:rFonts w:ascii="Arial" w:hAnsi="Arial" w:cs="Arial"/>
          <w:sz w:val="22"/>
          <w:szCs w:val="22"/>
        </w:rPr>
        <w:t xml:space="preserve"> policies and procedures.</w:t>
      </w:r>
    </w:p>
    <w:p w14:paraId="6D0E2AF9" w14:textId="77777777" w:rsidR="006D0C57" w:rsidRPr="006D0C57" w:rsidRDefault="006D0C57" w:rsidP="006D0C57"/>
    <w:p w14:paraId="5BEA77B2" w14:textId="77777777" w:rsidR="006D0C57" w:rsidRPr="006D0C57" w:rsidRDefault="006D0C57" w:rsidP="006D0C57"/>
    <w:p w14:paraId="642CE537" w14:textId="77777777" w:rsidR="006D0C57" w:rsidRPr="006D0C57" w:rsidRDefault="006D0C57" w:rsidP="006D0C57"/>
    <w:p w14:paraId="3CC6B87C" w14:textId="77777777" w:rsidR="006D0C57" w:rsidRPr="006D0C57" w:rsidRDefault="006D0C57" w:rsidP="006D0C57"/>
    <w:p w14:paraId="54CC6FA5" w14:textId="77777777" w:rsidR="006D0C57" w:rsidRPr="006D0C57" w:rsidRDefault="006D0C57" w:rsidP="006D0C57"/>
    <w:p w14:paraId="624113FC" w14:textId="77777777" w:rsidR="006D0C57" w:rsidRPr="006D0C57" w:rsidRDefault="006D0C57" w:rsidP="006D0C57"/>
    <w:p w14:paraId="6189067B" w14:textId="77777777" w:rsidR="006D0C57" w:rsidRPr="006D0C57" w:rsidRDefault="006D0C57" w:rsidP="006D0C57"/>
    <w:p w14:paraId="5705CCBE" w14:textId="77777777" w:rsidR="006D0C57" w:rsidRPr="006D0C57" w:rsidRDefault="006D0C57" w:rsidP="006D0C57"/>
    <w:p w14:paraId="695AF368" w14:textId="77777777" w:rsidR="006D0C57" w:rsidRPr="006D0C57" w:rsidRDefault="006D0C57" w:rsidP="006D0C57"/>
    <w:p w14:paraId="58AE78D4" w14:textId="77777777" w:rsidR="006D0C57" w:rsidRPr="006D0C57" w:rsidRDefault="006D0C57" w:rsidP="006D0C57"/>
    <w:p w14:paraId="1273B556" w14:textId="77777777" w:rsidR="006D0C57" w:rsidRPr="006D0C57" w:rsidRDefault="006D0C57" w:rsidP="006D0C57"/>
    <w:p w14:paraId="34CD3888" w14:textId="77777777" w:rsidR="006D0C57" w:rsidRPr="006D0C57" w:rsidRDefault="006D0C57" w:rsidP="006D0C57"/>
    <w:p w14:paraId="25779D25" w14:textId="77777777" w:rsidR="006D0C57" w:rsidRPr="006D0C57" w:rsidRDefault="006D0C57" w:rsidP="006D0C57"/>
    <w:p w14:paraId="06BA674D" w14:textId="77777777" w:rsidR="006D0C57" w:rsidRPr="006D0C57" w:rsidRDefault="006D0C57" w:rsidP="006D0C57"/>
    <w:p w14:paraId="4A57A159" w14:textId="77777777" w:rsidR="006D0C57" w:rsidRPr="006D0C57" w:rsidRDefault="006D0C57" w:rsidP="006D0C57"/>
    <w:p w14:paraId="05A38B32" w14:textId="77777777" w:rsidR="006D0C57" w:rsidRPr="006D0C57" w:rsidRDefault="006D0C57" w:rsidP="006D0C57"/>
    <w:p w14:paraId="513B5014" w14:textId="77777777" w:rsidR="006D0C57" w:rsidRPr="006D0C57" w:rsidRDefault="006D0C57" w:rsidP="006D0C57"/>
    <w:p w14:paraId="09EA16A9" w14:textId="77777777" w:rsidR="006D0C57" w:rsidRPr="006D0C57" w:rsidRDefault="006D0C57" w:rsidP="006D0C57"/>
    <w:p w14:paraId="207BC13D" w14:textId="77777777" w:rsidR="006D0C57" w:rsidRPr="006D0C57" w:rsidRDefault="006D0C57" w:rsidP="006D0C57"/>
    <w:p w14:paraId="11EA31BF" w14:textId="77777777" w:rsidR="006D0C57" w:rsidRPr="006D0C57" w:rsidRDefault="006D0C57" w:rsidP="006D0C57"/>
    <w:p w14:paraId="226167D6" w14:textId="77777777" w:rsidR="006D0C57" w:rsidRPr="006D0C57" w:rsidRDefault="006D0C57" w:rsidP="006D0C57"/>
    <w:p w14:paraId="646B745A" w14:textId="77777777" w:rsidR="006D0C57" w:rsidRPr="006D0C57" w:rsidRDefault="006D0C57" w:rsidP="006D0C57"/>
    <w:p w14:paraId="19B73A8F" w14:textId="77777777" w:rsidR="006D0C57" w:rsidRPr="006D0C57" w:rsidRDefault="006D0C57" w:rsidP="006D0C57"/>
    <w:p w14:paraId="464B14EC" w14:textId="77777777" w:rsidR="006D0C57" w:rsidRPr="006D0C57" w:rsidRDefault="006D0C57" w:rsidP="006D0C57"/>
    <w:p w14:paraId="2E25CC79" w14:textId="77777777" w:rsidR="006D0C57" w:rsidRPr="006D0C57" w:rsidRDefault="006D0C57" w:rsidP="006D0C57"/>
    <w:p w14:paraId="63E6D693" w14:textId="77777777" w:rsidR="006D0C57" w:rsidRPr="006D0C57" w:rsidRDefault="006D0C57" w:rsidP="006D0C57"/>
    <w:p w14:paraId="2EBF2D05" w14:textId="77777777" w:rsidR="006D0C57" w:rsidRPr="006D0C57" w:rsidRDefault="006D0C57" w:rsidP="006D0C57"/>
    <w:p w14:paraId="5B26567C" w14:textId="77777777" w:rsidR="006D0C57" w:rsidRPr="006D0C57" w:rsidRDefault="006D0C57" w:rsidP="006D0C57"/>
    <w:p w14:paraId="289C511B" w14:textId="77777777" w:rsidR="006D0C57" w:rsidRPr="006D0C57" w:rsidRDefault="006D0C57" w:rsidP="006D0C57"/>
    <w:p w14:paraId="26CD75A8" w14:textId="77777777" w:rsidR="006D0C57" w:rsidRPr="006D0C57" w:rsidRDefault="006D0C57" w:rsidP="006D0C57"/>
    <w:p w14:paraId="0DFECE69" w14:textId="77777777" w:rsidR="006D0C57" w:rsidRPr="006D0C57" w:rsidRDefault="006D0C57" w:rsidP="006D0C57"/>
    <w:p w14:paraId="7D65D069" w14:textId="77777777" w:rsidR="006D0C57" w:rsidRPr="006D0C57" w:rsidRDefault="006D0C57" w:rsidP="006D0C57"/>
    <w:p w14:paraId="04890253" w14:textId="77777777" w:rsidR="006D0C57" w:rsidRPr="006D0C57" w:rsidRDefault="006D0C57" w:rsidP="006D0C57"/>
    <w:p w14:paraId="64DE0021" w14:textId="77777777" w:rsidR="006D0C57" w:rsidRPr="006D0C57" w:rsidRDefault="006D0C57" w:rsidP="006D0C57"/>
    <w:p w14:paraId="3029D220" w14:textId="77777777" w:rsidR="006D0C57" w:rsidRPr="006D0C57" w:rsidRDefault="006D0C57" w:rsidP="006D0C57"/>
    <w:p w14:paraId="6AB7FE80" w14:textId="77777777" w:rsidR="006D0C57" w:rsidRPr="006D0C57" w:rsidRDefault="006D0C57" w:rsidP="006D0C57"/>
    <w:p w14:paraId="5C25378A" w14:textId="77777777" w:rsidR="006D0C57" w:rsidRPr="006D0C57" w:rsidRDefault="006D0C57" w:rsidP="006D0C57"/>
    <w:p w14:paraId="4FC113A6" w14:textId="77777777" w:rsidR="006D0C57" w:rsidRPr="006D0C57" w:rsidRDefault="006D0C57" w:rsidP="006D0C57"/>
    <w:p w14:paraId="6A1B61ED" w14:textId="77777777" w:rsidR="006D0C57" w:rsidRPr="006D0C57" w:rsidRDefault="006D0C57" w:rsidP="006D0C57"/>
    <w:p w14:paraId="13D9DF3E" w14:textId="77777777" w:rsidR="006D0C57" w:rsidRDefault="006D0C57" w:rsidP="006D0C57">
      <w:pPr>
        <w:rPr>
          <w:rFonts w:ascii="Arial" w:hAnsi="Arial" w:cs="Arial"/>
          <w:sz w:val="22"/>
          <w:szCs w:val="22"/>
        </w:rPr>
      </w:pPr>
    </w:p>
    <w:p w14:paraId="09202FC4" w14:textId="77777777" w:rsidR="006D0C57" w:rsidRDefault="006D0C57" w:rsidP="006D0C57">
      <w:pPr>
        <w:rPr>
          <w:rFonts w:ascii="Arial" w:hAnsi="Arial" w:cs="Arial"/>
          <w:sz w:val="22"/>
          <w:szCs w:val="22"/>
        </w:rPr>
      </w:pPr>
    </w:p>
    <w:p w14:paraId="37E22110" w14:textId="791B30E2" w:rsidR="006D0C57" w:rsidRPr="006D0C57" w:rsidRDefault="006D0C57" w:rsidP="006D0C57">
      <w:pPr>
        <w:tabs>
          <w:tab w:val="left" w:pos="6228"/>
        </w:tabs>
      </w:pPr>
      <w:r>
        <w:tab/>
      </w:r>
    </w:p>
    <w:sectPr w:rsidR="006D0C57" w:rsidRPr="006D0C57" w:rsidSect="009060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C39D" w14:textId="77777777" w:rsidR="008054BD" w:rsidRDefault="008054BD">
      <w:r>
        <w:separator/>
      </w:r>
    </w:p>
  </w:endnote>
  <w:endnote w:type="continuationSeparator" w:id="0">
    <w:p w14:paraId="46A27D33" w14:textId="77777777" w:rsidR="008054BD" w:rsidRDefault="0080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173E" w14:textId="28CCF0A9" w:rsidR="006D0C57" w:rsidRDefault="006D0C57" w:rsidP="006D0C5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Policies and Procedures </w:t>
    </w:r>
    <w:r>
      <w:rPr>
        <w:rFonts w:ascii="Arial" w:hAnsi="Arial" w:cs="Arial"/>
        <w:sz w:val="20"/>
      </w:rPr>
      <w:t>Early Years Alliance</w:t>
    </w:r>
  </w:p>
  <w:p w14:paraId="3BAD9252" w14:textId="77777777" w:rsidR="006D0C57" w:rsidRDefault="006D0C57" w:rsidP="006D0C5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0CD323BE" w14:textId="77777777" w:rsidR="006D0C57" w:rsidRPr="009D201B" w:rsidRDefault="006D0C57" w:rsidP="006D0C5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3B57451E" w14:textId="111E6082" w:rsidR="00524862" w:rsidRPr="001F60B5" w:rsidRDefault="0052486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A7FB" w14:textId="77777777" w:rsidR="008054BD" w:rsidRDefault="008054BD">
      <w:r>
        <w:separator/>
      </w:r>
    </w:p>
  </w:footnote>
  <w:footnote w:type="continuationSeparator" w:id="0">
    <w:p w14:paraId="19BE1D3C" w14:textId="77777777" w:rsidR="008054BD" w:rsidRDefault="0080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8285" w14:textId="0251697D" w:rsidR="15508248" w:rsidRDefault="005358B5" w:rsidP="1550824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84885CE" wp14:editId="6141D57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966D97E" w14:textId="4943DDF9" w:rsidR="005358B5" w:rsidRDefault="005358B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84885C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966D97E" w14:textId="4943DDF9" w:rsidR="005358B5" w:rsidRDefault="005358B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358B5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B052A"/>
    <w:rsid w:val="006D0C57"/>
    <w:rsid w:val="006E7842"/>
    <w:rsid w:val="00705DAF"/>
    <w:rsid w:val="00723725"/>
    <w:rsid w:val="00731621"/>
    <w:rsid w:val="0073289D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54BD"/>
    <w:rsid w:val="008078FF"/>
    <w:rsid w:val="00816576"/>
    <w:rsid w:val="00823FF7"/>
    <w:rsid w:val="00841EC2"/>
    <w:rsid w:val="008452A6"/>
    <w:rsid w:val="00877276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1734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1583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12</cp:revision>
  <cp:lastPrinted>2011-08-19T14:03:00Z</cp:lastPrinted>
  <dcterms:created xsi:type="dcterms:W3CDTF">2024-01-02T13:14:00Z</dcterms:created>
  <dcterms:modified xsi:type="dcterms:W3CDTF">2025-09-24T17:34:00Z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