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368D88D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w:t>
      </w:r>
      <w:r w:rsidR="00A13A20">
        <w:rPr>
          <w:rFonts w:ascii="Arial" w:hAnsi="Arial" w:cs="Arial"/>
          <w:b/>
          <w:bCs/>
          <w:sz w:val="28"/>
          <w:szCs w:val="28"/>
        </w:rPr>
        <w:t>13</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00D47095">
        <w:rPr>
          <w:rFonts w:ascii="Arial" w:hAnsi="Arial" w:cs="Arial"/>
          <w:sz w:val="22"/>
          <w:szCs w:val="22"/>
        </w:rPr>
        <w:t>Pare</w:t>
      </w:r>
      <w:r w:rsidR="00C748AE" w:rsidRPr="00D47095">
        <w:rPr>
          <w:rFonts w:ascii="Arial" w:hAnsi="Arial" w:cs="Arial"/>
          <w:sz w:val="22"/>
          <w:szCs w:val="22"/>
        </w:rPr>
        <w:t>nts</w:t>
      </w:r>
      <w:r w:rsidR="360A7ED1" w:rsidRPr="00D47095">
        <w:rPr>
          <w:rFonts w:ascii="Arial" w:hAnsi="Arial" w:cs="Arial"/>
          <w:sz w:val="22"/>
          <w:szCs w:val="22"/>
        </w:rPr>
        <w:t>/carers</w:t>
      </w:r>
      <w:r w:rsidR="00C748AE" w:rsidRPr="00D47095">
        <w:rPr>
          <w:rFonts w:ascii="Arial" w:hAnsi="Arial" w:cs="Arial"/>
          <w:sz w:val="22"/>
          <w:szCs w:val="22"/>
        </w:rPr>
        <w:t xml:space="preserve"> </w:t>
      </w:r>
      <w:r w:rsidR="00C748AE" w:rsidRPr="1ABE9788">
        <w:rPr>
          <w:rFonts w:ascii="Arial" w:hAnsi="Arial" w:cs="Arial"/>
          <w:sz w:val="22"/>
          <w:szCs w:val="22"/>
        </w:rPr>
        <w:t xml:space="preserve">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498FD4D1"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w:t>
      </w:r>
      <w:r w:rsidRPr="00D47095">
        <w:rPr>
          <w:rFonts w:ascii="Arial" w:hAnsi="Arial" w:cs="Arial"/>
          <w:sz w:val="22"/>
          <w:szCs w:val="22"/>
        </w:rPr>
        <w:t xml:space="preserve">staff </w:t>
      </w:r>
      <w:r w:rsidR="0025219C" w:rsidRPr="00D47095">
        <w:rPr>
          <w:rFonts w:ascii="Arial" w:hAnsi="Arial" w:cs="Arial"/>
          <w:sz w:val="22"/>
          <w:szCs w:val="22"/>
        </w:rPr>
        <w:t>accompanies</w:t>
      </w:r>
      <w:r w:rsidRPr="00D47095">
        <w:rPr>
          <w:rFonts w:ascii="Arial" w:hAnsi="Arial" w:cs="Arial"/>
          <w:sz w:val="22"/>
          <w:szCs w:val="22"/>
        </w:rPr>
        <w:t xml:space="preserve"> </w:t>
      </w:r>
      <w:r w:rsidRPr="00017387">
        <w:rPr>
          <w:rFonts w:ascii="Arial" w:hAnsi="Arial" w:cs="Arial"/>
          <w:sz w:val="22"/>
          <w:szCs w:val="22"/>
        </w:rPr>
        <w:t>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babies in buggies,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lastRenderedPageBreak/>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B042" w14:textId="77777777" w:rsidR="00743CBC" w:rsidRDefault="00743CBC">
      <w:r>
        <w:separator/>
      </w:r>
    </w:p>
  </w:endnote>
  <w:endnote w:type="continuationSeparator" w:id="0">
    <w:p w14:paraId="708D1071" w14:textId="77777777" w:rsidR="00743CBC" w:rsidRDefault="00743CBC">
      <w:r>
        <w:continuationSeparator/>
      </w:r>
    </w:p>
  </w:endnote>
  <w:endnote w:type="continuationNotice" w:id="1">
    <w:p w14:paraId="56BD77EB" w14:textId="77777777" w:rsidR="00743CBC" w:rsidRDefault="00743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F4E1" w14:textId="77777777" w:rsidR="00294BF5" w:rsidRDefault="0029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3403" w14:textId="130726F1" w:rsidR="00294BF5" w:rsidRDefault="00294BF5" w:rsidP="00294BF5">
    <w:pPr>
      <w:pStyle w:val="Footer"/>
      <w:rPr>
        <w:rFonts w:ascii="Arial" w:hAnsi="Arial" w:cs="Arial"/>
        <w:i/>
        <w:iCs/>
        <w:sz w:val="20"/>
      </w:rPr>
    </w:pPr>
    <w:r w:rsidRPr="00A736C8">
      <w:rPr>
        <w:rFonts w:ascii="Arial" w:hAnsi="Arial" w:cs="Arial"/>
        <w:i/>
        <w:iCs/>
        <w:sz w:val="20"/>
      </w:rPr>
      <w:t xml:space="preserve">Policies &amp; Procedures </w:t>
    </w:r>
  </w:p>
  <w:p w14:paraId="3BC819B4" w14:textId="77777777" w:rsidR="00294BF5" w:rsidRDefault="00294BF5" w:rsidP="00294BF5">
    <w:pPr>
      <w:pStyle w:val="Footer"/>
      <w:rPr>
        <w:rFonts w:ascii="Arial" w:hAnsi="Arial" w:cs="Arial"/>
        <w:i/>
        <w:iCs/>
        <w:sz w:val="20"/>
      </w:rPr>
    </w:pPr>
    <w:r>
      <w:rPr>
        <w:rFonts w:ascii="Arial" w:hAnsi="Arial" w:cs="Arial"/>
        <w:i/>
        <w:iCs/>
        <w:sz w:val="20"/>
      </w:rPr>
      <w:t>Adopted September 2023 Early Years Alliance</w:t>
    </w:r>
  </w:p>
  <w:p w14:paraId="068ED43A" w14:textId="77777777" w:rsidR="00294BF5" w:rsidRPr="005D52B1" w:rsidRDefault="00294BF5" w:rsidP="00294BF5">
    <w:pPr>
      <w:pStyle w:val="Footer"/>
      <w:rPr>
        <w:rFonts w:ascii="Arial" w:hAnsi="Arial" w:cs="Arial"/>
        <w:i/>
        <w:iCs/>
        <w:sz w:val="20"/>
      </w:rPr>
    </w:pPr>
    <w:r>
      <w:rPr>
        <w:rFonts w:ascii="Arial" w:hAnsi="Arial" w:cs="Arial"/>
        <w:i/>
        <w:iCs/>
        <w:sz w:val="20"/>
      </w:rPr>
      <w:t>Policies are reviewed annually Sept 2025</w:t>
    </w:r>
  </w:p>
  <w:p w14:paraId="1F6340D8" w14:textId="23EB1C7A" w:rsidR="002D18BB" w:rsidRPr="002D18BB" w:rsidRDefault="002D18BB" w:rsidP="321AF18D">
    <w:pPr>
      <w:tabs>
        <w:tab w:val="center" w:pos="4513"/>
        <w:tab w:val="right" w:pos="9026"/>
      </w:tabs>
      <w:rPr>
        <w:rFonts w:ascii="Arial" w:hAnsi="Arial" w:cs="Arial"/>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1DA0" w14:textId="77777777" w:rsidR="00294BF5" w:rsidRDefault="0029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803B" w14:textId="77777777" w:rsidR="00743CBC" w:rsidRDefault="00743CBC">
      <w:r>
        <w:separator/>
      </w:r>
    </w:p>
  </w:footnote>
  <w:footnote w:type="continuationSeparator" w:id="0">
    <w:p w14:paraId="589AD69D" w14:textId="77777777" w:rsidR="00743CBC" w:rsidRDefault="00743CBC">
      <w:r>
        <w:continuationSeparator/>
      </w:r>
    </w:p>
  </w:footnote>
  <w:footnote w:type="continuationNotice" w:id="1">
    <w:p w14:paraId="6943B3DD" w14:textId="77777777" w:rsidR="00743CBC" w:rsidRDefault="00743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80B8" w14:textId="77777777" w:rsidR="00294BF5" w:rsidRDefault="00294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31FF" w14:textId="1E2CA175" w:rsidR="1ABE9788" w:rsidRDefault="00A13A20" w:rsidP="1ABE9788">
    <w:pPr>
      <w:pStyle w:val="Header"/>
    </w:pPr>
    <w:r>
      <w:rPr>
        <w:noProof/>
      </w:rPr>
      <mc:AlternateContent>
        <mc:Choice Requires="wps">
          <w:drawing>
            <wp:anchor distT="0" distB="0" distL="118745" distR="118745" simplePos="0" relativeHeight="251659264" behindDoc="1" locked="0" layoutInCell="1" allowOverlap="0" wp14:anchorId="313AD740" wp14:editId="3960929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040F22" w14:textId="41BD06EE" w:rsidR="00A13A20" w:rsidRDefault="00A13A20">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3AD74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9040F22" w14:textId="41BD06EE" w:rsidR="00A13A20" w:rsidRDefault="00A13A20">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0FE3" w14:textId="77777777" w:rsidR="00294BF5" w:rsidRDefault="00294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5744"/>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BF5"/>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7A2"/>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289D"/>
    <w:rsid w:val="00735219"/>
    <w:rsid w:val="0073662B"/>
    <w:rsid w:val="00736D91"/>
    <w:rsid w:val="00741A57"/>
    <w:rsid w:val="00743CBC"/>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1C9F"/>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3A20"/>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47095"/>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771</Words>
  <Characters>4401</Characters>
  <Application>Microsoft Office Word</Application>
  <DocSecurity>0</DocSecurity>
  <Lines>36</Lines>
  <Paragraphs>10</Paragraphs>
  <ScaleCrop>false</ScaleCrop>
  <Company>Hewlett-Packard Company</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30</cp:revision>
  <cp:lastPrinted>2018-05-03T19:09:00Z</cp:lastPrinted>
  <dcterms:created xsi:type="dcterms:W3CDTF">2024-01-02T21:43:00Z</dcterms:created>
  <dcterms:modified xsi:type="dcterms:W3CDTF">2025-09-24T18:04:00Z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