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31FFD574"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368A7B5B" w:rsidR="00956423" w:rsidRPr="009D0DC9" w:rsidRDefault="003F5469" w:rsidP="00C0C56B">
      <w:pPr>
        <w:spacing w:before="120" w:after="120" w:line="360" w:lineRule="auto"/>
        <w:rPr>
          <w:rFonts w:ascii="Arial" w:hAnsi="Arial" w:cs="Arial"/>
          <w:sz w:val="22"/>
          <w:szCs w:val="22"/>
        </w:rPr>
      </w:pPr>
      <w:r w:rsidRPr="00C0C56B">
        <w:rPr>
          <w:rFonts w:ascii="Arial" w:hAnsi="Arial" w:cs="Arial"/>
          <w:sz w:val="22"/>
          <w:szCs w:val="22"/>
        </w:rPr>
        <w:t xml:space="preserve">Babies and young children need to form a secure attachment to key person when they join </w:t>
      </w:r>
      <w:r w:rsidR="009D0DC9" w:rsidRPr="009D0DC9">
        <w:rPr>
          <w:rFonts w:ascii="Arial" w:hAnsi="Arial" w:cs="Arial"/>
          <w:b/>
          <w:bCs/>
          <w:sz w:val="22"/>
          <w:szCs w:val="22"/>
        </w:rPr>
        <w:t>Castor and Ailsworth Preschool</w:t>
      </w:r>
      <w:r w:rsidRPr="009D0DC9">
        <w:rPr>
          <w:rFonts w:ascii="Arial" w:hAnsi="Arial" w:cs="Arial"/>
          <w:sz w:val="22"/>
          <w:szCs w:val="22"/>
        </w:rPr>
        <w:t xml:space="preserve"> 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5BAED37D"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w:t>
      </w:r>
      <w:proofErr w:type="gramStart"/>
      <w:r w:rsidRPr="00085A01">
        <w:rPr>
          <w:rFonts w:ascii="Arial" w:hAnsi="Arial" w:cs="Arial"/>
          <w:sz w:val="22"/>
          <w:szCs w:val="22"/>
        </w:rPr>
        <w:t>induction</w:t>
      </w:r>
      <w:proofErr w:type="gramEnd"/>
      <w:r w:rsidRPr="00085A01">
        <w:rPr>
          <w:rFonts w:ascii="Arial" w:hAnsi="Arial" w:cs="Arial"/>
          <w:sz w:val="22"/>
          <w:szCs w:val="22"/>
        </w:rPr>
        <w:t xml:space="preserve"> and the name of the child’s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09198142"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35D2A9CB" w14:textId="483BFFEA"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w:t>
      </w:r>
      <w:r w:rsidR="007257AE" w:rsidRPr="4AD2FC73">
        <w:rPr>
          <w:rFonts w:ascii="Arial" w:hAnsi="Arial" w:cs="Arial"/>
          <w:sz w:val="22"/>
          <w:szCs w:val="22"/>
        </w:rPr>
        <w:t xml:space="preserv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Pr="00085A01"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sectPr w:rsidR="00440223"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F2A0" w14:textId="77777777" w:rsidR="004D5345" w:rsidRDefault="004D5345" w:rsidP="003C7A9F">
      <w:r>
        <w:separator/>
      </w:r>
    </w:p>
  </w:endnote>
  <w:endnote w:type="continuationSeparator" w:id="0">
    <w:p w14:paraId="7E3164BD" w14:textId="77777777" w:rsidR="004D5345" w:rsidRDefault="004D534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3493" w14:textId="77777777" w:rsidR="00597140" w:rsidRDefault="00597140" w:rsidP="00597140">
    <w:pPr>
      <w:pStyle w:val="Footer"/>
      <w:rPr>
        <w:rFonts w:ascii="Arial" w:hAnsi="Arial" w:cs="Arial"/>
        <w:sz w:val="20"/>
      </w:rPr>
    </w:pPr>
    <w:r>
      <w:rPr>
        <w:rFonts w:ascii="Arial" w:hAnsi="Arial" w:cs="Arial"/>
        <w:sz w:val="20"/>
      </w:rPr>
      <w:t>EY Practice</w:t>
    </w:r>
    <w:r>
      <w:rPr>
        <w:rFonts w:ascii="Arial" w:hAnsi="Arial" w:cs="Arial"/>
        <w:sz w:val="20"/>
        <w:lang w:val="en-GB"/>
      </w:rPr>
      <w:t xml:space="preserve"> Policies and Procedures </w:t>
    </w:r>
  </w:p>
  <w:p w14:paraId="7850C131" w14:textId="77777777" w:rsidR="00597140" w:rsidRDefault="00597140" w:rsidP="00597140">
    <w:pPr>
      <w:pStyle w:val="Footer"/>
      <w:rPr>
        <w:rFonts w:ascii="Arial" w:hAnsi="Arial" w:cs="Arial"/>
        <w:sz w:val="20"/>
        <w:lang w:val="en-GB"/>
      </w:rPr>
    </w:pPr>
    <w:r>
      <w:rPr>
        <w:rFonts w:ascii="Arial" w:hAnsi="Arial" w:cs="Arial"/>
        <w:sz w:val="20"/>
      </w:rPr>
      <w:t>Adopted SEPT 2025</w:t>
    </w:r>
  </w:p>
  <w:p w14:paraId="4D10742E" w14:textId="77777777" w:rsidR="00597140" w:rsidRPr="009D201B" w:rsidRDefault="00597140" w:rsidP="00597140">
    <w:pPr>
      <w:pStyle w:val="Footer"/>
      <w:rPr>
        <w:rFonts w:ascii="Arial" w:hAnsi="Arial" w:cs="Arial"/>
        <w:sz w:val="20"/>
      </w:rPr>
    </w:pPr>
    <w:r>
      <w:rPr>
        <w:rFonts w:ascii="Arial" w:hAnsi="Arial" w:cs="Arial"/>
        <w:sz w:val="20"/>
        <w:lang w:val="en-GB"/>
      </w:rPr>
      <w:t xml:space="preserve">Reviewed Annually Sept </w:t>
    </w:r>
  </w:p>
  <w:p w14:paraId="3A1DFBFB" w14:textId="7019F454" w:rsidR="00414432" w:rsidRPr="00A809DC" w:rsidRDefault="00414432" w:rsidP="00A80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7595" w14:textId="77777777" w:rsidR="004D5345" w:rsidRDefault="004D5345" w:rsidP="003C7A9F">
      <w:r>
        <w:separator/>
      </w:r>
    </w:p>
  </w:footnote>
  <w:footnote w:type="continuationSeparator" w:id="0">
    <w:p w14:paraId="1F43BFCB" w14:textId="77777777" w:rsidR="004D5345" w:rsidRDefault="004D534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59F6" w14:textId="49777B25" w:rsidR="67626611" w:rsidRDefault="009D0DC9" w:rsidP="67626611">
    <w:pPr>
      <w:pStyle w:val="Header"/>
    </w:pPr>
    <w:r>
      <w:rPr>
        <w:noProof/>
      </w:rPr>
      <mc:AlternateContent>
        <mc:Choice Requires="wps">
          <w:drawing>
            <wp:anchor distT="0" distB="0" distL="118745" distR="118745" simplePos="0" relativeHeight="251659264" behindDoc="1" locked="0" layoutInCell="1" allowOverlap="0" wp14:anchorId="07BC0BBE" wp14:editId="541B2E9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99DE28D" w14:textId="177DE4AE" w:rsidR="009D0DC9" w:rsidRDefault="009D0DC9">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7BC0BBE"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99DE28D" w14:textId="177DE4AE" w:rsidR="009D0DC9" w:rsidRDefault="009D0DC9">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534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140"/>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89D"/>
    <w:rsid w:val="00732ADB"/>
    <w:rsid w:val="00735E57"/>
    <w:rsid w:val="00736EE3"/>
    <w:rsid w:val="0073719D"/>
    <w:rsid w:val="007407E3"/>
    <w:rsid w:val="007412CC"/>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033"/>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0DC9"/>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1734"/>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0CD"/>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3705</Characters>
  <Application>Microsoft Office Word</Application>
  <DocSecurity>0</DocSecurity>
  <Lines>30</Lines>
  <Paragraphs>8</Paragraphs>
  <ScaleCrop>false</ScaleCrop>
  <Company>Hewlett-Packard Company</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16</cp:revision>
  <cp:lastPrinted>2018-05-03T18:57:00Z</cp:lastPrinted>
  <dcterms:created xsi:type="dcterms:W3CDTF">2024-01-03T13:22:00Z</dcterms:created>
  <dcterms:modified xsi:type="dcterms:W3CDTF">2025-09-23T14:14:00Z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