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9ED81" w14:textId="77777777" w:rsidR="00901F7F" w:rsidRPr="00393CF0" w:rsidRDefault="00901F7F" w:rsidP="00901F7F">
      <w:pPr>
        <w:pStyle w:val="Title"/>
        <w:pBdr>
          <w:bottom w:val="single" w:sz="8" w:space="0" w:color="4472C4" w:themeColor="accent1"/>
        </w:pBdr>
        <w:rPr>
          <w:rStyle w:val="BookTitle"/>
          <w:sz w:val="40"/>
          <w:szCs w:val="40"/>
        </w:rPr>
      </w:pPr>
      <w:r w:rsidRPr="00393CF0">
        <w:rPr>
          <w:rStyle w:val="BookTitle"/>
          <w:sz w:val="40"/>
          <w:szCs w:val="40"/>
        </w:rPr>
        <w:t>Bulletin Information</w:t>
      </w:r>
      <w:r>
        <w:rPr>
          <w:rStyle w:val="BookTitle"/>
          <w:sz w:val="40"/>
          <w:szCs w:val="40"/>
        </w:rPr>
        <w:t xml:space="preserve">                                                             </w:t>
      </w:r>
      <w:r>
        <w:rPr>
          <w:b w:val="0"/>
          <w:bCs/>
          <w:smallCaps/>
          <w:noProof/>
          <w:sz w:val="40"/>
          <w:szCs w:val="40"/>
        </w:rPr>
        <w:drawing>
          <wp:inline distT="0" distB="0" distL="0" distR="0" wp14:anchorId="2301D3C5" wp14:editId="182600F0">
            <wp:extent cx="453118" cy="191224"/>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 logo.png"/>
                    <pic:cNvPicPr/>
                  </pic:nvPicPr>
                  <pic:blipFill>
                    <a:blip r:embed="rId5">
                      <a:extLst>
                        <a:ext uri="{28A0092B-C50C-407E-A947-70E740481C1C}">
                          <a14:useLocalDpi xmlns:a14="http://schemas.microsoft.com/office/drawing/2010/main" val="0"/>
                        </a:ext>
                      </a:extLst>
                    </a:blip>
                    <a:stretch>
                      <a:fillRect/>
                    </a:stretch>
                  </pic:blipFill>
                  <pic:spPr>
                    <a:xfrm>
                      <a:off x="0" y="0"/>
                      <a:ext cx="453118" cy="191224"/>
                    </a:xfrm>
                    <a:prstGeom prst="rect">
                      <a:avLst/>
                    </a:prstGeom>
                  </pic:spPr>
                </pic:pic>
              </a:graphicData>
            </a:graphic>
          </wp:inline>
        </w:drawing>
      </w:r>
      <w:r>
        <w:rPr>
          <w:rStyle w:val="BookTitle"/>
          <w:sz w:val="40"/>
          <w:szCs w:val="40"/>
        </w:rPr>
        <w:t xml:space="preserve">          </w:t>
      </w:r>
      <w:r w:rsidRPr="00393CF0">
        <w:rPr>
          <w:rStyle w:val="BookTitle"/>
          <w:sz w:val="40"/>
          <w:szCs w:val="40"/>
        </w:rPr>
        <w:t xml:space="preserve"> </w:t>
      </w:r>
    </w:p>
    <w:tbl>
      <w:tblPr>
        <w:tblStyle w:val="ColorfulList"/>
        <w:tblW w:w="10189" w:type="dxa"/>
        <w:jc w:val="center"/>
        <w:tblLook w:val="04A0" w:firstRow="1" w:lastRow="0" w:firstColumn="1" w:lastColumn="0" w:noHBand="0" w:noVBand="1"/>
      </w:tblPr>
      <w:tblGrid>
        <w:gridCol w:w="1921"/>
        <w:gridCol w:w="2166"/>
        <w:gridCol w:w="807"/>
        <w:gridCol w:w="2318"/>
        <w:gridCol w:w="1194"/>
        <w:gridCol w:w="1783"/>
      </w:tblGrid>
      <w:tr w:rsidR="00901F7F" w14:paraId="6A1DC813" w14:textId="77777777" w:rsidTr="003A701D">
        <w:trPr>
          <w:cnfStyle w:val="100000000000" w:firstRow="1" w:lastRow="0" w:firstColumn="0" w:lastColumn="0" w:oddVBand="0" w:evenVBand="0" w:oddHBand="0" w:evenHBand="0" w:firstRowFirstColumn="0" w:firstRowLastColumn="0" w:lastRowFirstColumn="0" w:lastRowLastColumn="0"/>
          <w:trHeight w:hRule="exact" w:val="432"/>
          <w:jc w:val="center"/>
        </w:trPr>
        <w:tc>
          <w:tcPr>
            <w:cnfStyle w:val="001000000000" w:firstRow="0" w:lastRow="0" w:firstColumn="1" w:lastColumn="0" w:oddVBand="0" w:evenVBand="0" w:oddHBand="0" w:evenHBand="0" w:firstRowFirstColumn="0" w:firstRowLastColumn="0" w:lastRowFirstColumn="0" w:lastRowLastColumn="0"/>
            <w:tcW w:w="1921" w:type="dxa"/>
            <w:tcBorders>
              <w:top w:val="single" w:sz="12" w:space="0" w:color="FFFFFF" w:themeColor="background1"/>
              <w:left w:val="single" w:sz="12" w:space="0" w:color="FFFFFF" w:themeColor="background1"/>
              <w:right w:val="single" w:sz="12" w:space="0" w:color="FFFFFF" w:themeColor="background1"/>
            </w:tcBorders>
            <w:vAlign w:val="center"/>
          </w:tcPr>
          <w:p w14:paraId="4DB91905" w14:textId="77777777" w:rsidR="00901F7F" w:rsidRPr="00C63F05" w:rsidRDefault="00901F7F" w:rsidP="003A701D">
            <w:pPr>
              <w:rPr>
                <w:sz w:val="23"/>
                <w:szCs w:val="23"/>
              </w:rPr>
            </w:pPr>
            <w:r w:rsidRPr="00C63F05">
              <w:rPr>
                <w:sz w:val="23"/>
                <w:szCs w:val="23"/>
              </w:rPr>
              <w:t>DATE:</w:t>
            </w:r>
          </w:p>
        </w:tc>
        <w:tc>
          <w:tcPr>
            <w:tcW w:w="2166" w:type="dxa"/>
            <w:tcBorders>
              <w:top w:val="single" w:sz="12" w:space="0" w:color="FFFFFF" w:themeColor="background1"/>
              <w:left w:val="single" w:sz="12" w:space="0" w:color="FFFFFF" w:themeColor="background1"/>
              <w:right w:val="single" w:sz="12" w:space="0" w:color="FFFFFF" w:themeColor="background1"/>
            </w:tcBorders>
            <w:vAlign w:val="center"/>
          </w:tcPr>
          <w:p w14:paraId="5101C6A2" w14:textId="51FAB372" w:rsidR="00901F7F" w:rsidRPr="00C63F05" w:rsidRDefault="009F1BE3" w:rsidP="003A701D">
            <w:pPr>
              <w:cnfStyle w:val="100000000000" w:firstRow="1" w:lastRow="0" w:firstColumn="0" w:lastColumn="0" w:oddVBand="0" w:evenVBand="0" w:oddHBand="0" w:evenHBand="0" w:firstRowFirstColumn="0" w:firstRowLastColumn="0" w:lastRowFirstColumn="0" w:lastRowLastColumn="0"/>
              <w:rPr>
                <w:sz w:val="23"/>
                <w:szCs w:val="23"/>
              </w:rPr>
            </w:pPr>
            <w:r>
              <w:rPr>
                <w:sz w:val="23"/>
                <w:szCs w:val="23"/>
              </w:rPr>
              <w:t xml:space="preserve">October </w:t>
            </w:r>
            <w:r w:rsidR="008730E7">
              <w:rPr>
                <w:sz w:val="23"/>
                <w:szCs w:val="23"/>
              </w:rPr>
              <w:t>14</w:t>
            </w:r>
            <w:r>
              <w:rPr>
                <w:sz w:val="23"/>
                <w:szCs w:val="23"/>
              </w:rPr>
              <w:t>, 202</w:t>
            </w:r>
            <w:r w:rsidR="008730E7">
              <w:rPr>
                <w:sz w:val="23"/>
                <w:szCs w:val="23"/>
              </w:rPr>
              <w:t>5</w:t>
            </w:r>
          </w:p>
          <w:p w14:paraId="4C2E0B52" w14:textId="77777777" w:rsidR="00901F7F" w:rsidRPr="00C63F05" w:rsidRDefault="00901F7F" w:rsidP="003A701D">
            <w:pPr>
              <w:cnfStyle w:val="100000000000" w:firstRow="1" w:lastRow="0" w:firstColumn="0" w:lastColumn="0" w:oddVBand="0" w:evenVBand="0" w:oddHBand="0" w:evenHBand="0" w:firstRowFirstColumn="0" w:firstRowLastColumn="0" w:lastRowFirstColumn="0" w:lastRowLastColumn="0"/>
              <w:rPr>
                <w:sz w:val="23"/>
                <w:szCs w:val="23"/>
              </w:rPr>
            </w:pPr>
          </w:p>
        </w:tc>
        <w:tc>
          <w:tcPr>
            <w:tcW w:w="807" w:type="dxa"/>
            <w:tcBorders>
              <w:top w:val="single" w:sz="12" w:space="0" w:color="FFFFFF" w:themeColor="background1"/>
              <w:left w:val="single" w:sz="12" w:space="0" w:color="FFFFFF" w:themeColor="background1"/>
              <w:right w:val="single" w:sz="12" w:space="0" w:color="FFFFFF" w:themeColor="background1"/>
            </w:tcBorders>
            <w:vAlign w:val="center"/>
          </w:tcPr>
          <w:p w14:paraId="1D7513CB" w14:textId="77777777" w:rsidR="00901F7F" w:rsidRPr="00C63F05" w:rsidRDefault="00901F7F" w:rsidP="003A701D">
            <w:pPr>
              <w:cnfStyle w:val="100000000000" w:firstRow="1" w:lastRow="0" w:firstColumn="0" w:lastColumn="0" w:oddVBand="0" w:evenVBand="0" w:oddHBand="0" w:evenHBand="0" w:firstRowFirstColumn="0" w:firstRowLastColumn="0" w:lastRowFirstColumn="0" w:lastRowLastColumn="0"/>
              <w:rPr>
                <w:sz w:val="23"/>
                <w:szCs w:val="23"/>
              </w:rPr>
            </w:pPr>
            <w:r w:rsidRPr="00C63F05">
              <w:rPr>
                <w:sz w:val="23"/>
                <w:szCs w:val="23"/>
              </w:rPr>
              <w:t>TYPE:</w:t>
            </w:r>
          </w:p>
        </w:tc>
        <w:tc>
          <w:tcPr>
            <w:tcW w:w="2318" w:type="dxa"/>
            <w:tcBorders>
              <w:top w:val="single" w:sz="12" w:space="0" w:color="FFFFFF" w:themeColor="background1"/>
              <w:left w:val="single" w:sz="12" w:space="0" w:color="FFFFFF" w:themeColor="background1"/>
              <w:right w:val="single" w:sz="12" w:space="0" w:color="FFFFFF" w:themeColor="background1"/>
            </w:tcBorders>
            <w:vAlign w:val="center"/>
          </w:tcPr>
          <w:p w14:paraId="2F8525C5" w14:textId="77777777" w:rsidR="00901F7F" w:rsidRPr="00C63F05" w:rsidRDefault="00901F7F" w:rsidP="003A701D">
            <w:pPr>
              <w:cnfStyle w:val="100000000000" w:firstRow="1" w:lastRow="0" w:firstColumn="0" w:lastColumn="0" w:oddVBand="0" w:evenVBand="0" w:oddHBand="0" w:evenHBand="0" w:firstRowFirstColumn="0" w:firstRowLastColumn="0" w:lastRowFirstColumn="0" w:lastRowLastColumn="0"/>
              <w:rPr>
                <w:sz w:val="23"/>
                <w:szCs w:val="23"/>
              </w:rPr>
            </w:pPr>
            <w:r w:rsidRPr="00C63F05">
              <w:rPr>
                <w:sz w:val="23"/>
                <w:szCs w:val="23"/>
              </w:rPr>
              <w:t>Information</w:t>
            </w:r>
          </w:p>
        </w:tc>
        <w:tc>
          <w:tcPr>
            <w:tcW w:w="1194" w:type="dxa"/>
            <w:tcBorders>
              <w:top w:val="single" w:sz="12" w:space="0" w:color="FFFFFF" w:themeColor="background1"/>
              <w:left w:val="single" w:sz="12" w:space="0" w:color="FFFFFF" w:themeColor="background1"/>
              <w:right w:val="single" w:sz="12" w:space="0" w:color="FFFFFF" w:themeColor="background1"/>
            </w:tcBorders>
            <w:vAlign w:val="center"/>
          </w:tcPr>
          <w:p w14:paraId="2206B3EF" w14:textId="77777777" w:rsidR="00901F7F" w:rsidRPr="00C63F05" w:rsidRDefault="00901F7F" w:rsidP="003A701D">
            <w:pPr>
              <w:cnfStyle w:val="100000000000" w:firstRow="1" w:lastRow="0" w:firstColumn="0" w:lastColumn="0" w:oddVBand="0" w:evenVBand="0" w:oddHBand="0" w:evenHBand="0" w:firstRowFirstColumn="0" w:firstRowLastColumn="0" w:lastRowFirstColumn="0" w:lastRowLastColumn="0"/>
              <w:rPr>
                <w:sz w:val="23"/>
                <w:szCs w:val="23"/>
              </w:rPr>
            </w:pPr>
            <w:r w:rsidRPr="00C63F05">
              <w:rPr>
                <w:sz w:val="23"/>
                <w:szCs w:val="23"/>
              </w:rPr>
              <w:t>NUMBER:</w:t>
            </w:r>
          </w:p>
        </w:tc>
        <w:tc>
          <w:tcPr>
            <w:tcW w:w="1783" w:type="dxa"/>
            <w:tcBorders>
              <w:top w:val="single" w:sz="12" w:space="0" w:color="FFFFFF" w:themeColor="background1"/>
              <w:left w:val="single" w:sz="12" w:space="0" w:color="FFFFFF" w:themeColor="background1"/>
              <w:right w:val="single" w:sz="12" w:space="0" w:color="FFFFFF" w:themeColor="background1"/>
            </w:tcBorders>
            <w:vAlign w:val="center"/>
          </w:tcPr>
          <w:p w14:paraId="7631A898" w14:textId="5815EAAC" w:rsidR="00901F7F" w:rsidRPr="00C63F05" w:rsidRDefault="00451F08" w:rsidP="009F1BE3">
            <w:pPr>
              <w:cnfStyle w:val="100000000000" w:firstRow="1" w:lastRow="0" w:firstColumn="0" w:lastColumn="0" w:oddVBand="0" w:evenVBand="0" w:oddHBand="0" w:evenHBand="0" w:firstRowFirstColumn="0" w:firstRowLastColumn="0" w:lastRowFirstColumn="0" w:lastRowLastColumn="0"/>
              <w:rPr>
                <w:sz w:val="23"/>
                <w:szCs w:val="23"/>
              </w:rPr>
            </w:pPr>
            <w:r>
              <w:rPr>
                <w:sz w:val="23"/>
                <w:szCs w:val="23"/>
              </w:rPr>
              <w:t>14</w:t>
            </w:r>
            <w:r w:rsidR="00ED2C22">
              <w:rPr>
                <w:sz w:val="23"/>
                <w:szCs w:val="23"/>
              </w:rPr>
              <w:t>5</w:t>
            </w:r>
            <w:r>
              <w:rPr>
                <w:sz w:val="23"/>
                <w:szCs w:val="23"/>
              </w:rPr>
              <w:t>-</w:t>
            </w:r>
            <w:r w:rsidR="009F1BE3">
              <w:rPr>
                <w:sz w:val="23"/>
                <w:szCs w:val="23"/>
              </w:rPr>
              <w:t>2</w:t>
            </w:r>
            <w:r w:rsidR="005238DA">
              <w:rPr>
                <w:sz w:val="23"/>
                <w:szCs w:val="23"/>
              </w:rPr>
              <w:t>5</w:t>
            </w:r>
          </w:p>
        </w:tc>
      </w:tr>
      <w:tr w:rsidR="00901F7F" w14:paraId="63E25EBA" w14:textId="77777777" w:rsidTr="003A701D">
        <w:trPr>
          <w:cnfStyle w:val="000000100000" w:firstRow="0" w:lastRow="0" w:firstColumn="0" w:lastColumn="0" w:oddVBand="0" w:evenVBand="0" w:oddHBand="1" w:evenHBand="0" w:firstRowFirstColumn="0" w:firstRowLastColumn="0" w:lastRowFirstColumn="0" w:lastRowLastColumn="0"/>
          <w:trHeight w:hRule="exact" w:val="336"/>
          <w:jc w:val="center"/>
        </w:trPr>
        <w:tc>
          <w:tcPr>
            <w:cnfStyle w:val="001000000000" w:firstRow="0" w:lastRow="0" w:firstColumn="1" w:lastColumn="0" w:oddVBand="0" w:evenVBand="0" w:oddHBand="0" w:evenHBand="0" w:firstRowFirstColumn="0" w:firstRowLastColumn="0" w:lastRowFirstColumn="0" w:lastRowLastColumn="0"/>
            <w:tcW w:w="1921" w:type="dxa"/>
            <w:tcBorders>
              <w:left w:val="single" w:sz="12" w:space="0" w:color="FFFFFF" w:themeColor="background1"/>
            </w:tcBorders>
            <w:vAlign w:val="center"/>
          </w:tcPr>
          <w:p w14:paraId="139180A8" w14:textId="77777777" w:rsidR="00901F7F" w:rsidRDefault="00901F7F" w:rsidP="003A701D">
            <w:r>
              <w:t xml:space="preserve">SUBJECT: </w:t>
            </w:r>
          </w:p>
        </w:tc>
        <w:tc>
          <w:tcPr>
            <w:tcW w:w="8268" w:type="dxa"/>
            <w:gridSpan w:val="5"/>
            <w:tcBorders>
              <w:right w:val="single" w:sz="12" w:space="0" w:color="FFFFFF" w:themeColor="background1"/>
            </w:tcBorders>
            <w:vAlign w:val="center"/>
          </w:tcPr>
          <w:p w14:paraId="50017B41" w14:textId="704B85DB" w:rsidR="00901F7F" w:rsidRDefault="00ED2C22" w:rsidP="003A701D">
            <w:pPr>
              <w:cnfStyle w:val="000000100000" w:firstRow="0" w:lastRow="0" w:firstColumn="0" w:lastColumn="0" w:oddVBand="0" w:evenVBand="0" w:oddHBand="1" w:evenHBand="0" w:firstRowFirstColumn="0" w:firstRowLastColumn="0" w:lastRowFirstColumn="0" w:lastRowLastColumn="0"/>
            </w:pPr>
            <w:r>
              <w:t>Winnipeg</w:t>
            </w:r>
            <w:r w:rsidR="007979DB">
              <w:t xml:space="preserve"> </w:t>
            </w:r>
            <w:r w:rsidR="00C0787B">
              <w:t>Information for Bidding Mileage Dates</w:t>
            </w:r>
            <w:r w:rsidR="009F1BE3">
              <w:t xml:space="preserve">  - October 1</w:t>
            </w:r>
            <w:r w:rsidR="008730E7">
              <w:t>4</w:t>
            </w:r>
            <w:r w:rsidR="009F1BE3">
              <w:t>th 202</w:t>
            </w:r>
            <w:r w:rsidR="008730E7">
              <w:t>5</w:t>
            </w:r>
          </w:p>
        </w:tc>
      </w:tr>
    </w:tbl>
    <w:p w14:paraId="7E58F7E8" w14:textId="77777777" w:rsidR="00901F7F" w:rsidRPr="00901F7F" w:rsidRDefault="00901F7F" w:rsidP="00901F7F">
      <w:pPr>
        <w:pStyle w:val="Title"/>
        <w:rPr>
          <w:b w:val="0"/>
          <w:bCs/>
          <w:smallCaps/>
        </w:rPr>
      </w:pPr>
      <w:r w:rsidRPr="00BB7EFA">
        <w:rPr>
          <w:rStyle w:val="BookTitle"/>
        </w:rPr>
        <w:t>Details</w:t>
      </w:r>
    </w:p>
    <w:p w14:paraId="362B8687" w14:textId="77777777" w:rsidR="007F05C9" w:rsidRPr="004910CC" w:rsidRDefault="007F05C9" w:rsidP="007F05C9">
      <w:pPr>
        <w:rPr>
          <w:b/>
          <w:bCs/>
        </w:rPr>
      </w:pPr>
      <w:r w:rsidRPr="007F05C9">
        <w:rPr>
          <w:b/>
          <w:bCs/>
        </w:rPr>
        <w:t>This bulletin is further to the TCRC Memorandum of Settlement dated May 30, 2018.</w:t>
      </w:r>
    </w:p>
    <w:p w14:paraId="3ED4BDA3" w14:textId="77777777" w:rsidR="007F05C9" w:rsidRDefault="007F05C9" w:rsidP="007F05C9">
      <w:r>
        <w:t xml:space="preserve">As </w:t>
      </w:r>
      <w:r w:rsidR="00370E77">
        <w:t>per Article 31.03 of the Consolidated Collective Agreement, e</w:t>
      </w:r>
      <w:r w:rsidRPr="007F05C9">
        <w:t>mployees will have the opportunity to rebid their EDO/ Mileage dates on the basis of the National Seniority list sixty (60) days after the issuance of the Consolidated Collective Agreement to employees and every three (3) years thereafter.</w:t>
      </w:r>
    </w:p>
    <w:p w14:paraId="027BF2D5" w14:textId="77777777" w:rsidR="00BB4233" w:rsidRPr="0085327F" w:rsidRDefault="007F05C9" w:rsidP="007F05C9">
      <w:r w:rsidRPr="0085327F">
        <w:t xml:space="preserve">All </w:t>
      </w:r>
      <w:r w:rsidR="00BB4233" w:rsidRPr="0085327F">
        <w:t xml:space="preserve">T&amp;E employees’ </w:t>
      </w:r>
      <w:r w:rsidRPr="0085327F">
        <w:t xml:space="preserve">mileage dates will be </w:t>
      </w:r>
      <w:r w:rsidR="00BB4233" w:rsidRPr="0085327F">
        <w:t xml:space="preserve">biddable and </w:t>
      </w:r>
      <w:r w:rsidR="009F2357" w:rsidRPr="0085327F">
        <w:t>equal</w:t>
      </w:r>
      <w:r w:rsidR="00BB4233" w:rsidRPr="0085327F">
        <w:t xml:space="preserve">ly distributed by the Crew Management Centre </w:t>
      </w:r>
      <w:r w:rsidR="00C677DD" w:rsidRPr="0085327F">
        <w:t xml:space="preserve">(CMC) </w:t>
      </w:r>
      <w:r w:rsidR="00BB4233" w:rsidRPr="0085327F">
        <w:t>throughout</w:t>
      </w:r>
      <w:r w:rsidR="009F2357" w:rsidRPr="0085327F">
        <w:t xml:space="preserve"> the month over a </w:t>
      </w:r>
      <w:r w:rsidR="00C06062" w:rsidRPr="0085327F">
        <w:t>28-day</w:t>
      </w:r>
      <w:r w:rsidR="009F2357" w:rsidRPr="0085327F">
        <w:t xml:space="preserve"> period.  </w:t>
      </w:r>
      <w:r w:rsidR="00BB4233" w:rsidRPr="0085327F">
        <w:t xml:space="preserve">Mileage date distribution formulas </w:t>
      </w:r>
      <w:r w:rsidR="00AF4208" w:rsidRPr="0085327F">
        <w:t xml:space="preserve">for each terminal </w:t>
      </w:r>
      <w:r w:rsidR="00BB4233" w:rsidRPr="0085327F">
        <w:t>will be provided to the Union</w:t>
      </w:r>
      <w:r w:rsidR="00C27E65" w:rsidRPr="0085327F">
        <w:t xml:space="preserve"> by the Crew management Centre</w:t>
      </w:r>
      <w:r w:rsidR="00BB4233" w:rsidRPr="0085327F">
        <w:t xml:space="preserve">. </w:t>
      </w:r>
      <w:r w:rsidR="000E5889" w:rsidRPr="0085327F">
        <w:t xml:space="preserve">Bids will be accepted </w:t>
      </w:r>
      <w:r w:rsidR="000266A3" w:rsidRPr="0085327F">
        <w:t>by the Crew Management Centre from</w:t>
      </w:r>
      <w:r w:rsidR="000E5889" w:rsidRPr="0085327F">
        <w:t xml:space="preserve"> October 1</w:t>
      </w:r>
      <w:r w:rsidR="000266A3" w:rsidRPr="0085327F">
        <w:t>5</w:t>
      </w:r>
      <w:r w:rsidR="000E5889" w:rsidRPr="0085327F">
        <w:t xml:space="preserve">, 0001 until </w:t>
      </w:r>
      <w:r w:rsidR="002E746B">
        <w:t>November 12</w:t>
      </w:r>
      <w:r w:rsidR="000E5889" w:rsidRPr="0085327F">
        <w:t xml:space="preserve"> at </w:t>
      </w:r>
      <w:r w:rsidR="002E746B">
        <w:t>2359</w:t>
      </w:r>
      <w:r w:rsidR="000E5889" w:rsidRPr="0085327F">
        <w:t>.</w:t>
      </w:r>
    </w:p>
    <w:p w14:paraId="681F75F8" w14:textId="77777777" w:rsidR="0085327F" w:rsidRPr="0085327F" w:rsidRDefault="0085327F" w:rsidP="0085327F">
      <w:r w:rsidRPr="0085327F">
        <w:t xml:space="preserve">Bidding must be submitted through electronic format and will be available through all CMA Kiosks or via CP Station (token required).  Additional bidding instructions will be </w:t>
      </w:r>
      <w:r>
        <w:t>included</w:t>
      </w:r>
      <w:r w:rsidRPr="0085327F">
        <w:t xml:space="preserve"> wit</w:t>
      </w:r>
      <w:r>
        <w:t>h the preponderance information which will be issued in a separate bulletin.</w:t>
      </w:r>
    </w:p>
    <w:p w14:paraId="19FDABD3" w14:textId="77777777" w:rsidR="002B4209" w:rsidRDefault="009F2357" w:rsidP="007F05C9">
      <w:r>
        <w:t xml:space="preserve">All </w:t>
      </w:r>
      <w:r w:rsidR="00BB4233">
        <w:t>T&amp;E employees</w:t>
      </w:r>
      <w:r w:rsidR="007F05C9" w:rsidRPr="007F05C9">
        <w:t xml:space="preserve"> </w:t>
      </w:r>
      <w:r>
        <w:t xml:space="preserve">will be required to </w:t>
      </w:r>
      <w:r w:rsidR="007F05C9" w:rsidRPr="007F05C9">
        <w:t>provide a list in order of</w:t>
      </w:r>
      <w:r w:rsidR="00C27E65">
        <w:t xml:space="preserve"> their </w:t>
      </w:r>
      <w:r w:rsidR="007F05C9" w:rsidRPr="007F05C9">
        <w:t xml:space="preserve">preferred mileage dates </w:t>
      </w:r>
      <w:r w:rsidR="007F05C9">
        <w:t xml:space="preserve">on the prescribed bidding form. </w:t>
      </w:r>
      <w:r>
        <w:t xml:space="preserve"> Please be advised that </w:t>
      </w:r>
      <w:r w:rsidR="00BB4233">
        <w:t>T&amp;E employees m</w:t>
      </w:r>
      <w:r w:rsidR="007F05C9" w:rsidRPr="007F05C9">
        <w:t xml:space="preserve">ay be removed from their current mileage date and assigned another date </w:t>
      </w:r>
      <w:r w:rsidR="00C27E65" w:rsidRPr="0085327F">
        <w:t xml:space="preserve">as a result </w:t>
      </w:r>
      <w:r w:rsidR="007F05C9" w:rsidRPr="0085327F">
        <w:t>of this</w:t>
      </w:r>
      <w:r w:rsidR="00AF4208" w:rsidRPr="0085327F">
        <w:t xml:space="preserve"> bidding process</w:t>
      </w:r>
      <w:r w:rsidR="007F05C9" w:rsidRPr="0085327F">
        <w:t>. There</w:t>
      </w:r>
      <w:r w:rsidR="007F05C9">
        <w:t xml:space="preserve"> will be no change of the inclusion of 28 different dates (1</w:t>
      </w:r>
      <w:r w:rsidR="007F05C9" w:rsidRPr="007F05C9">
        <w:rPr>
          <w:vertAlign w:val="superscript"/>
        </w:rPr>
        <w:t>st</w:t>
      </w:r>
      <w:r w:rsidR="007F05C9">
        <w:t xml:space="preserve"> to the 28</w:t>
      </w:r>
      <w:r w:rsidR="007F05C9" w:rsidRPr="007F05C9">
        <w:rPr>
          <w:vertAlign w:val="superscript"/>
        </w:rPr>
        <w:t>th</w:t>
      </w:r>
      <w:r w:rsidR="007F05C9">
        <w:t xml:space="preserve">). </w:t>
      </w:r>
    </w:p>
    <w:p w14:paraId="33B58A61" w14:textId="77777777" w:rsidR="002B4209" w:rsidRDefault="002B4209" w:rsidP="007F05C9">
      <w:r>
        <w:t>The following parameters will also apply:</w:t>
      </w:r>
    </w:p>
    <w:p w14:paraId="568A8514" w14:textId="77777777" w:rsidR="007F05C9" w:rsidRDefault="0072535B" w:rsidP="002B4209">
      <w:pPr>
        <w:pStyle w:val="ListParagraph"/>
        <w:numPr>
          <w:ilvl w:val="0"/>
          <w:numId w:val="1"/>
        </w:numPr>
      </w:pPr>
      <w:r>
        <w:t>In order to determine craft preponderance for both annual vacation and mileage date, t</w:t>
      </w:r>
      <w:r w:rsidR="002B4209" w:rsidRPr="002B4209">
        <w:t>he 52 weeks prior to the mileage date bulletin w</w:t>
      </w:r>
      <w:r>
        <w:t>ill</w:t>
      </w:r>
      <w:r w:rsidR="002B4209" w:rsidRPr="002B4209">
        <w:t xml:space="preserve"> be used</w:t>
      </w:r>
      <w:r>
        <w:t>.</w:t>
      </w:r>
      <w:r w:rsidR="002B4209" w:rsidRPr="002B4209">
        <w:t xml:space="preserve"> </w:t>
      </w:r>
    </w:p>
    <w:p w14:paraId="1B2021F1" w14:textId="77777777" w:rsidR="002B4209" w:rsidRDefault="002B4209" w:rsidP="002B4209">
      <w:pPr>
        <w:pStyle w:val="ListParagraph"/>
      </w:pPr>
    </w:p>
    <w:p w14:paraId="3AC2CD94" w14:textId="77777777" w:rsidR="007F05C9" w:rsidRDefault="00AF4208" w:rsidP="002B4209">
      <w:pPr>
        <w:pStyle w:val="ListParagraph"/>
        <w:numPr>
          <w:ilvl w:val="0"/>
          <w:numId w:val="1"/>
        </w:numPr>
      </w:pPr>
      <w:r w:rsidRPr="0085327F">
        <w:t>T&amp;E employees</w:t>
      </w:r>
      <w:r w:rsidR="002B4209" w:rsidRPr="0085327F">
        <w:t xml:space="preserve"> </w:t>
      </w:r>
      <w:r w:rsidR="0072535B" w:rsidRPr="0085327F">
        <w:t>volunt</w:t>
      </w:r>
      <w:r w:rsidR="0072535B">
        <w:t xml:space="preserve">arily </w:t>
      </w:r>
      <w:r w:rsidR="002B4209">
        <w:t>m</w:t>
      </w:r>
      <w:r w:rsidR="002B4209" w:rsidRPr="002B4209">
        <w:t>oving</w:t>
      </w:r>
      <w:r w:rsidR="002B4209">
        <w:t xml:space="preserve"> from</w:t>
      </w:r>
      <w:r w:rsidR="002B4209" w:rsidRPr="002B4209">
        <w:t xml:space="preserve"> terminal to terminal, </w:t>
      </w:r>
      <w:r w:rsidR="002B4209">
        <w:t>will</w:t>
      </w:r>
      <w:r w:rsidR="002B4209" w:rsidRPr="002B4209">
        <w:t xml:space="preserve"> not carry </w:t>
      </w:r>
      <w:r w:rsidR="002B4209">
        <w:t>their</w:t>
      </w:r>
      <w:r w:rsidR="002B4209" w:rsidRPr="002B4209">
        <w:t xml:space="preserve"> mileage date to the new terminal</w:t>
      </w:r>
      <w:r w:rsidR="002B4209">
        <w:t xml:space="preserve">. </w:t>
      </w:r>
      <w:r w:rsidR="002B4209" w:rsidRPr="002B4209">
        <w:t xml:space="preserve"> </w:t>
      </w:r>
      <w:r w:rsidR="002B4209">
        <w:t xml:space="preserve">Employee(s) </w:t>
      </w:r>
      <w:r w:rsidR="002B4209" w:rsidRPr="002B4209">
        <w:t xml:space="preserve">would receive </w:t>
      </w:r>
      <w:r w:rsidR="002B4209">
        <w:t>their</w:t>
      </w:r>
      <w:r w:rsidR="002B4209" w:rsidRPr="002B4209">
        <w:t xml:space="preserve"> choice of what </w:t>
      </w:r>
      <w:r w:rsidR="0072535B">
        <w:t>remains available</w:t>
      </w:r>
      <w:r w:rsidR="002B4209" w:rsidRPr="002B4209">
        <w:t xml:space="preserve"> upon arrival</w:t>
      </w:r>
      <w:r w:rsidR="002B4209">
        <w:t>.</w:t>
      </w:r>
      <w:r w:rsidR="00C06062">
        <w:t xml:space="preserve"> </w:t>
      </w:r>
    </w:p>
    <w:p w14:paraId="5E5574FD" w14:textId="77777777" w:rsidR="002B4209" w:rsidRDefault="009F2357" w:rsidP="002B4209">
      <w:pPr>
        <w:pStyle w:val="ListParagraph"/>
        <w:numPr>
          <w:ilvl w:val="0"/>
          <w:numId w:val="1"/>
        </w:numPr>
      </w:pPr>
      <w:r>
        <w:t xml:space="preserve">Employees on </w:t>
      </w:r>
      <w:r w:rsidR="002B4209">
        <w:t xml:space="preserve">91-day </w:t>
      </w:r>
      <w:r>
        <w:t xml:space="preserve">relocations </w:t>
      </w:r>
      <w:r w:rsidR="002B4209">
        <w:t xml:space="preserve">will not have their mileage date affected at the temporary location. </w:t>
      </w:r>
    </w:p>
    <w:p w14:paraId="0F760007" w14:textId="77777777" w:rsidR="002B4209" w:rsidRDefault="002B4209" w:rsidP="002B4209">
      <w:pPr>
        <w:pStyle w:val="ListParagraph"/>
      </w:pPr>
    </w:p>
    <w:p w14:paraId="3CEBD885" w14:textId="77777777" w:rsidR="002B4209" w:rsidRDefault="002B4209" w:rsidP="002B4209">
      <w:pPr>
        <w:pStyle w:val="ListParagraph"/>
        <w:numPr>
          <w:ilvl w:val="0"/>
          <w:numId w:val="1"/>
        </w:numPr>
      </w:pPr>
      <w:r>
        <w:t xml:space="preserve">After completion of this </w:t>
      </w:r>
      <w:r w:rsidR="009F2357">
        <w:t xml:space="preserve">bidding </w:t>
      </w:r>
      <w:r>
        <w:t xml:space="preserve">process, </w:t>
      </w:r>
      <w:r w:rsidR="009F2357">
        <w:t xml:space="preserve">employees will </w:t>
      </w:r>
      <w:r>
        <w:t xml:space="preserve">continue to keep their mileage date until the next bidding process happens </w:t>
      </w:r>
      <w:r w:rsidR="00F93975">
        <w:t xml:space="preserve">regardless of the position.  For example, Trainmen set up to Locomotive Engineer positions will maintain their mileage date for the duration of the 3 years. </w:t>
      </w:r>
    </w:p>
    <w:p w14:paraId="3EDE4733" w14:textId="77777777" w:rsidR="002B4209" w:rsidRDefault="002B4209" w:rsidP="002B4209">
      <w:pPr>
        <w:pStyle w:val="ListParagraph"/>
      </w:pPr>
    </w:p>
    <w:p w14:paraId="705E440B" w14:textId="77777777" w:rsidR="00AF4208" w:rsidRPr="0085327F" w:rsidRDefault="00AF4208" w:rsidP="002B4209">
      <w:pPr>
        <w:pStyle w:val="ListParagraph"/>
        <w:numPr>
          <w:ilvl w:val="0"/>
          <w:numId w:val="1"/>
        </w:numPr>
      </w:pPr>
      <w:r w:rsidRPr="0085327F">
        <w:t>Employees who fail to bid on preferred mileage dates will have a mileage date assigned to them as determined by the Crew Management Centre</w:t>
      </w:r>
      <w:r w:rsidR="00C27E65" w:rsidRPr="0085327F">
        <w:t xml:space="preserve"> based on an equitable distribution formula</w:t>
      </w:r>
      <w:r w:rsidRPr="0085327F">
        <w:t xml:space="preserve">.  </w:t>
      </w:r>
    </w:p>
    <w:p w14:paraId="6B655600" w14:textId="77777777" w:rsidR="00AF4208" w:rsidRDefault="00AF4208" w:rsidP="00AF4208">
      <w:pPr>
        <w:pStyle w:val="ListParagraph"/>
      </w:pPr>
    </w:p>
    <w:p w14:paraId="29A12F85" w14:textId="77777777" w:rsidR="002B4209" w:rsidRDefault="00F93975" w:rsidP="002B4209">
      <w:pPr>
        <w:pStyle w:val="ListParagraph"/>
        <w:numPr>
          <w:ilvl w:val="0"/>
          <w:numId w:val="1"/>
        </w:numPr>
      </w:pPr>
      <w:r>
        <w:t xml:space="preserve">All </w:t>
      </w:r>
      <w:r w:rsidR="002B4209">
        <w:t xml:space="preserve">CTY (Yard and </w:t>
      </w:r>
      <w:r>
        <w:t>Road</w:t>
      </w:r>
      <w:r w:rsidR="002B4209">
        <w:t xml:space="preserve">) would be </w:t>
      </w:r>
      <w:r>
        <w:t xml:space="preserve">assigned mileage dates </w:t>
      </w:r>
      <w:r w:rsidR="002B4209">
        <w:t xml:space="preserve">in seniority </w:t>
      </w:r>
      <w:r>
        <w:t xml:space="preserve">order </w:t>
      </w:r>
      <w:r w:rsidR="002B4209">
        <w:t xml:space="preserve">regardless of position </w:t>
      </w:r>
      <w:r>
        <w:t xml:space="preserve">they are </w:t>
      </w:r>
      <w:r w:rsidR="002B4209">
        <w:t xml:space="preserve">currently working.  </w:t>
      </w:r>
    </w:p>
    <w:p w14:paraId="27A8BBFD" w14:textId="77777777" w:rsidR="00FC0C3A" w:rsidRDefault="00FC0C3A" w:rsidP="00C06062">
      <w:pPr>
        <w:pStyle w:val="ListParagraph"/>
      </w:pPr>
    </w:p>
    <w:p w14:paraId="0F409502" w14:textId="77777777" w:rsidR="00FC0C3A" w:rsidRDefault="00FC0C3A" w:rsidP="002B4209">
      <w:pPr>
        <w:pStyle w:val="ListParagraph"/>
        <w:numPr>
          <w:ilvl w:val="0"/>
          <w:numId w:val="1"/>
        </w:numPr>
      </w:pPr>
      <w:r>
        <w:t>Engineer dates will be assigned in seniority order.</w:t>
      </w:r>
    </w:p>
    <w:p w14:paraId="3BA114C4" w14:textId="77777777" w:rsidR="000E5889" w:rsidRDefault="000E5889" w:rsidP="000E5889">
      <w:pPr>
        <w:pStyle w:val="ListParagraph"/>
      </w:pPr>
    </w:p>
    <w:p w14:paraId="2DA66F08" w14:textId="77777777" w:rsidR="00591186" w:rsidRPr="004910CC" w:rsidRDefault="00591186" w:rsidP="00E42E3A">
      <w:pPr>
        <w:rPr>
          <w:b/>
          <w:bCs/>
        </w:rPr>
      </w:pPr>
      <w:r w:rsidRPr="004910CC">
        <w:rPr>
          <w:b/>
          <w:bCs/>
        </w:rPr>
        <w:t>Bidding process</w:t>
      </w:r>
      <w:r w:rsidR="00C06062">
        <w:rPr>
          <w:b/>
          <w:bCs/>
        </w:rPr>
        <w:t>:</w:t>
      </w:r>
    </w:p>
    <w:p w14:paraId="64FE58DA" w14:textId="77777777" w:rsidR="00591186" w:rsidRDefault="00591186" w:rsidP="00591186">
      <w:pPr>
        <w:pStyle w:val="ListParagraph"/>
        <w:numPr>
          <w:ilvl w:val="0"/>
          <w:numId w:val="2"/>
        </w:numPr>
      </w:pPr>
      <w:r>
        <w:t xml:space="preserve">Preponderance results will be posted with the bulletin.   Bids will be accepted until </w:t>
      </w:r>
      <w:r w:rsidR="00665C06">
        <w:t>November 12 at 2359.</w:t>
      </w:r>
      <w:r w:rsidR="000266A3">
        <w:t xml:space="preserve"> </w:t>
      </w:r>
    </w:p>
    <w:p w14:paraId="0CA37FF6" w14:textId="570783B2" w:rsidR="00C06062" w:rsidRDefault="00591186" w:rsidP="00C06062">
      <w:pPr>
        <w:pStyle w:val="ListParagraph"/>
        <w:numPr>
          <w:ilvl w:val="0"/>
          <w:numId w:val="2"/>
        </w:numPr>
      </w:pPr>
      <w:r>
        <w:t xml:space="preserve">Results will be posted prior to the Annual Vacation bid. </w:t>
      </w:r>
    </w:p>
    <w:p w14:paraId="7770AEE5" w14:textId="1D5A3B12" w:rsidR="00195D6F" w:rsidRPr="0085327F" w:rsidRDefault="00C06062" w:rsidP="007F05C9">
      <w:pPr>
        <w:pStyle w:val="ListParagraph"/>
        <w:numPr>
          <w:ilvl w:val="0"/>
          <w:numId w:val="2"/>
        </w:numPr>
      </w:pPr>
      <w:bookmarkStart w:id="0" w:name="_Hlk20909111"/>
      <w:r w:rsidRPr="0085327F">
        <w:t xml:space="preserve">Once </w:t>
      </w:r>
      <w:r w:rsidR="00AF4208" w:rsidRPr="0085327F">
        <w:t xml:space="preserve">the </w:t>
      </w:r>
      <w:r w:rsidRPr="0085327F">
        <w:t xml:space="preserve">bidding </w:t>
      </w:r>
      <w:r w:rsidR="00AF4208" w:rsidRPr="0085327F">
        <w:t xml:space="preserve">process </w:t>
      </w:r>
      <w:r w:rsidRPr="0085327F">
        <w:t>has closed</w:t>
      </w:r>
      <w:r w:rsidR="00BA2A4F" w:rsidRPr="0085327F">
        <w:t>,</w:t>
      </w:r>
      <w:r w:rsidRPr="0085327F">
        <w:t xml:space="preserve"> </w:t>
      </w:r>
      <w:r w:rsidR="00F543E1" w:rsidRPr="0085327F">
        <w:t>employees</w:t>
      </w:r>
      <w:r w:rsidRPr="0085327F">
        <w:t xml:space="preserve"> </w:t>
      </w:r>
      <w:r w:rsidR="009F1BE3">
        <w:t>are</w:t>
      </w:r>
      <w:r w:rsidR="00C677DD" w:rsidRPr="0085327F">
        <w:t xml:space="preserve"> </w:t>
      </w:r>
      <w:r w:rsidR="00AF4208" w:rsidRPr="0085327F">
        <w:t xml:space="preserve">assigned </w:t>
      </w:r>
      <w:r w:rsidR="00F543E1" w:rsidRPr="0085327F">
        <w:t xml:space="preserve">a </w:t>
      </w:r>
      <w:r w:rsidRPr="0085327F">
        <w:t xml:space="preserve">new mileage period </w:t>
      </w:r>
      <w:r w:rsidR="00AF4208" w:rsidRPr="0085327F">
        <w:t xml:space="preserve">that </w:t>
      </w:r>
      <w:r w:rsidR="00C27E65" w:rsidRPr="0085327F">
        <w:t>will take</w:t>
      </w:r>
      <w:r w:rsidR="00AF4208" w:rsidRPr="0085327F">
        <w:t xml:space="preserve"> </w:t>
      </w:r>
      <w:r w:rsidRPr="0085327F">
        <w:t>effect</w:t>
      </w:r>
      <w:r w:rsidR="00AF4208" w:rsidRPr="0085327F">
        <w:t xml:space="preserve"> Week 1, </w:t>
      </w:r>
      <w:r w:rsidR="00F543E1" w:rsidRPr="0085327F">
        <w:t xml:space="preserve">January </w:t>
      </w:r>
      <w:r w:rsidR="005238DA">
        <w:t>5</w:t>
      </w:r>
      <w:r w:rsidR="00F543E1" w:rsidRPr="0085327F">
        <w:t>, 202</w:t>
      </w:r>
      <w:r w:rsidR="005238DA">
        <w:t>6</w:t>
      </w:r>
      <w:r w:rsidRPr="0085327F">
        <w:t xml:space="preserve">. </w:t>
      </w:r>
    </w:p>
    <w:p w14:paraId="38F27FAD" w14:textId="66FD0E73" w:rsidR="00AF4208" w:rsidRPr="0085327F" w:rsidRDefault="009F1BE3" w:rsidP="007F05C9">
      <w:pPr>
        <w:pStyle w:val="ListParagraph"/>
        <w:numPr>
          <w:ilvl w:val="0"/>
          <w:numId w:val="2"/>
        </w:numPr>
      </w:pPr>
      <w:r>
        <w:t xml:space="preserve">Effective January </w:t>
      </w:r>
      <w:r w:rsidR="005238DA">
        <w:t>5</w:t>
      </w:r>
      <w:r w:rsidR="00AF4208" w:rsidRPr="0085327F">
        <w:t>, 202</w:t>
      </w:r>
      <w:r>
        <w:t>3</w:t>
      </w:r>
      <w:r w:rsidR="00AF4208" w:rsidRPr="0085327F">
        <w:t xml:space="preserve"> employees will have all future booked EDO dates canceled in CMA. Any canceled EDOs will be cre</w:t>
      </w:r>
      <w:r w:rsidR="00C27E65" w:rsidRPr="0085327F">
        <w:t>dited</w:t>
      </w:r>
      <w:r w:rsidR="00AF4208" w:rsidRPr="0085327F">
        <w:t xml:space="preserve"> </w:t>
      </w:r>
      <w:r w:rsidR="00C27E65" w:rsidRPr="0085327F">
        <w:t xml:space="preserve">back </w:t>
      </w:r>
      <w:r w:rsidR="00AF4208" w:rsidRPr="0085327F">
        <w:t>to each employee’s bank</w:t>
      </w:r>
      <w:r w:rsidR="00C27E65" w:rsidRPr="0085327F">
        <w:t xml:space="preserve"> for future use based on their new or existing mileage dates.</w:t>
      </w:r>
    </w:p>
    <w:p w14:paraId="4A18ECAF" w14:textId="77777777" w:rsidR="00AF4208" w:rsidRPr="0085327F" w:rsidRDefault="00C27E65" w:rsidP="00C27E65">
      <w:pPr>
        <w:ind w:left="720"/>
      </w:pPr>
      <w:r w:rsidRPr="0085327F">
        <w:t>Note: if an employee retains the same mileage date and wants to keep previously booked EDO dates, he/she will need to reenter their EDO selection through CMA.</w:t>
      </w:r>
      <w:r w:rsidR="00AF4208" w:rsidRPr="0085327F">
        <w:t xml:space="preserve">  </w:t>
      </w:r>
    </w:p>
    <w:p w14:paraId="393CD170" w14:textId="77777777" w:rsidR="000266A3" w:rsidRPr="0085327F" w:rsidRDefault="000266A3" w:rsidP="0085327F">
      <w:pPr>
        <w:pStyle w:val="ListParagraph"/>
        <w:numPr>
          <w:ilvl w:val="0"/>
          <w:numId w:val="2"/>
        </w:numPr>
      </w:pPr>
      <w:r w:rsidRPr="0085327F">
        <w:t>If an employee is awarded a new mileage date, the following will  apply:</w:t>
      </w:r>
    </w:p>
    <w:p w14:paraId="6D3B83AF" w14:textId="04F05713" w:rsidR="0085327F" w:rsidRPr="0085327F" w:rsidRDefault="009F1BE3" w:rsidP="0085327F">
      <w:r>
        <w:t xml:space="preserve">After January </w:t>
      </w:r>
      <w:r w:rsidR="005238DA">
        <w:t>5</w:t>
      </w:r>
      <w:r w:rsidR="005238DA" w:rsidRPr="005238DA">
        <w:rPr>
          <w:vertAlign w:val="superscript"/>
        </w:rPr>
        <w:t>th</w:t>
      </w:r>
      <w:r w:rsidR="0085327F" w:rsidRPr="0085327F">
        <w:t xml:space="preserve">, employees will reset their mileage periods at either their new date, or their current date, whichever comes earlier. After it is reset on the current date, it will then be reset again at the new date.   </w:t>
      </w:r>
    </w:p>
    <w:p w14:paraId="1F37D427" w14:textId="77777777" w:rsidR="0085327F" w:rsidRPr="0085327F" w:rsidRDefault="0085327F" w:rsidP="0085327F">
      <w:pPr>
        <w:ind w:left="720"/>
        <w:rPr>
          <w:u w:val="single"/>
        </w:rPr>
      </w:pPr>
      <w:r w:rsidRPr="0085327F">
        <w:rPr>
          <w:u w:val="single"/>
        </w:rPr>
        <w:t>Example 1</w:t>
      </w:r>
    </w:p>
    <w:p w14:paraId="3BD28E25" w14:textId="77777777" w:rsidR="0085327F" w:rsidRPr="0085327F" w:rsidRDefault="0085327F" w:rsidP="0085327F">
      <w:pPr>
        <w:pStyle w:val="ListParagraph"/>
        <w:numPr>
          <w:ilvl w:val="0"/>
          <w:numId w:val="4"/>
        </w:numPr>
      </w:pPr>
      <w:r w:rsidRPr="0085327F">
        <w:t>Employee has a current date of the 15th and has 3000 miles for the month.  </w:t>
      </w:r>
    </w:p>
    <w:p w14:paraId="17A40134" w14:textId="7A447137" w:rsidR="0085327F" w:rsidRPr="0085327F" w:rsidRDefault="009F1BE3" w:rsidP="0085327F">
      <w:pPr>
        <w:pStyle w:val="ListParagraph"/>
        <w:numPr>
          <w:ilvl w:val="0"/>
          <w:numId w:val="4"/>
        </w:numPr>
      </w:pPr>
      <w:r>
        <w:t xml:space="preserve"> On January </w:t>
      </w:r>
      <w:r w:rsidR="005238DA">
        <w:t>5</w:t>
      </w:r>
      <w:r w:rsidR="0085327F" w:rsidRPr="0085327F">
        <w:t xml:space="preserve">, the employee receives a new mileage date of the 10th </w:t>
      </w:r>
    </w:p>
    <w:p w14:paraId="09CEE09D" w14:textId="6E03E902" w:rsidR="0085327F" w:rsidRPr="0085327F" w:rsidRDefault="0085327F" w:rsidP="0085327F">
      <w:pPr>
        <w:pStyle w:val="ListParagraph"/>
        <w:numPr>
          <w:ilvl w:val="0"/>
          <w:numId w:val="4"/>
        </w:numPr>
      </w:pPr>
      <w:r w:rsidRPr="0085327F">
        <w:t xml:space="preserve">Employee will have </w:t>
      </w:r>
      <w:r w:rsidR="005238DA">
        <w:t>5</w:t>
      </w:r>
      <w:r w:rsidRPr="0085327F">
        <w:t xml:space="preserve"> days remaining to make 800 miles (CTY East 1300 miles).   </w:t>
      </w:r>
    </w:p>
    <w:p w14:paraId="608BADC4" w14:textId="77777777" w:rsidR="0085327F" w:rsidRPr="0085327F" w:rsidRDefault="0085327F" w:rsidP="0085327F">
      <w:pPr>
        <w:pStyle w:val="ListParagraph"/>
        <w:numPr>
          <w:ilvl w:val="0"/>
          <w:numId w:val="4"/>
        </w:numPr>
      </w:pPr>
      <w:r w:rsidRPr="0085327F">
        <w:t>Given that the new date is earlier, he would have his mileage reset to zero on the 10</w:t>
      </w:r>
      <w:r w:rsidRPr="0085327F">
        <w:rPr>
          <w:vertAlign w:val="superscript"/>
        </w:rPr>
        <w:t>th</w:t>
      </w:r>
      <w:r w:rsidRPr="0085327F">
        <w:t xml:space="preserve">. </w:t>
      </w:r>
    </w:p>
    <w:p w14:paraId="69962406" w14:textId="77777777" w:rsidR="00901F7F" w:rsidRDefault="0085327F" w:rsidP="0085327F">
      <w:r w:rsidRPr="0085327F">
        <w:t xml:space="preserve">               </w:t>
      </w:r>
    </w:p>
    <w:p w14:paraId="3FF0E2A1" w14:textId="77777777" w:rsidR="0085327F" w:rsidRPr="0085327F" w:rsidRDefault="0085327F" w:rsidP="00901F7F">
      <w:pPr>
        <w:ind w:firstLine="720"/>
        <w:rPr>
          <w:u w:val="single"/>
        </w:rPr>
      </w:pPr>
      <w:r w:rsidRPr="0085327F">
        <w:t xml:space="preserve"> </w:t>
      </w:r>
      <w:r w:rsidRPr="0085327F">
        <w:rPr>
          <w:u w:val="single"/>
        </w:rPr>
        <w:t>Example 2</w:t>
      </w:r>
    </w:p>
    <w:p w14:paraId="17331C46" w14:textId="77777777" w:rsidR="0085327F" w:rsidRPr="0085327F" w:rsidRDefault="0085327F" w:rsidP="0085327F">
      <w:pPr>
        <w:pStyle w:val="ListParagraph"/>
        <w:numPr>
          <w:ilvl w:val="0"/>
          <w:numId w:val="4"/>
        </w:numPr>
      </w:pPr>
      <w:r w:rsidRPr="0085327F">
        <w:t>Employee has a current date of the 15th and has 3000 miles for the month.  </w:t>
      </w:r>
    </w:p>
    <w:p w14:paraId="1ED05E7B" w14:textId="041EE0BB" w:rsidR="0085327F" w:rsidRPr="0085327F" w:rsidRDefault="009F1BE3" w:rsidP="0085327F">
      <w:pPr>
        <w:pStyle w:val="ListParagraph"/>
        <w:numPr>
          <w:ilvl w:val="0"/>
          <w:numId w:val="4"/>
        </w:numPr>
      </w:pPr>
      <w:r>
        <w:t xml:space="preserve">On January </w:t>
      </w:r>
      <w:r w:rsidR="005238DA">
        <w:t>5</w:t>
      </w:r>
      <w:r w:rsidR="0085327F" w:rsidRPr="0085327F">
        <w:t>, the employee rece</w:t>
      </w:r>
      <w:r>
        <w:t>ives a new mileage date of the 1</w:t>
      </w:r>
      <w:r w:rsidRPr="009F1BE3">
        <w:rPr>
          <w:vertAlign w:val="superscript"/>
        </w:rPr>
        <w:t>st</w:t>
      </w:r>
      <w:r w:rsidR="0085327F" w:rsidRPr="0085327F">
        <w:t xml:space="preserve">. </w:t>
      </w:r>
    </w:p>
    <w:p w14:paraId="3AC55F3D" w14:textId="77777777" w:rsidR="0085327F" w:rsidRPr="0085327F" w:rsidRDefault="0085327F" w:rsidP="0085327F">
      <w:pPr>
        <w:pStyle w:val="ListParagraph"/>
        <w:numPr>
          <w:ilvl w:val="0"/>
          <w:numId w:val="4"/>
        </w:numPr>
      </w:pPr>
      <w:r w:rsidRPr="0085327F">
        <w:t>Under this scenario employee will have to reset his/her mileage period twice.</w:t>
      </w:r>
    </w:p>
    <w:p w14:paraId="40E376BC" w14:textId="77777777" w:rsidR="0085327F" w:rsidRPr="0085327F" w:rsidRDefault="0085327F" w:rsidP="0085327F">
      <w:pPr>
        <w:pStyle w:val="ListParagraph"/>
        <w:numPr>
          <w:ilvl w:val="0"/>
          <w:numId w:val="4"/>
        </w:numPr>
      </w:pPr>
      <w:r w:rsidRPr="0085327F">
        <w:t>Employee will continue to work with existing miles until January 15</w:t>
      </w:r>
      <w:r w:rsidRPr="0085327F">
        <w:rPr>
          <w:vertAlign w:val="superscript"/>
        </w:rPr>
        <w:t>th</w:t>
      </w:r>
      <w:r w:rsidRPr="0085327F">
        <w:t xml:space="preserve"> and would be reset on that day.   </w:t>
      </w:r>
    </w:p>
    <w:p w14:paraId="714EE063" w14:textId="77777777" w:rsidR="0085327F" w:rsidRPr="0085327F" w:rsidRDefault="0085327F" w:rsidP="0085327F">
      <w:pPr>
        <w:pStyle w:val="ListParagraph"/>
        <w:numPr>
          <w:ilvl w:val="0"/>
          <w:numId w:val="4"/>
        </w:numPr>
      </w:pPr>
      <w:r w:rsidRPr="0085327F">
        <w:t>Employee’s new milea</w:t>
      </w:r>
      <w:r w:rsidR="009F1BE3">
        <w:t>ge date will reset on February 1</w:t>
      </w:r>
      <w:r w:rsidR="009F1BE3" w:rsidRPr="009F1BE3">
        <w:rPr>
          <w:vertAlign w:val="superscript"/>
        </w:rPr>
        <w:t>st</w:t>
      </w:r>
      <w:r w:rsidRPr="0085327F">
        <w:t>.</w:t>
      </w:r>
    </w:p>
    <w:p w14:paraId="7A032ADA" w14:textId="77777777" w:rsidR="009F1BE3" w:rsidRDefault="009F1BE3" w:rsidP="0085327F">
      <w:pPr>
        <w:ind w:left="720"/>
        <w:rPr>
          <w:u w:val="single"/>
        </w:rPr>
      </w:pPr>
    </w:p>
    <w:p w14:paraId="668FD4D2" w14:textId="77777777" w:rsidR="009F1BE3" w:rsidRDefault="009F1BE3" w:rsidP="0085327F">
      <w:pPr>
        <w:ind w:left="720"/>
        <w:rPr>
          <w:u w:val="single"/>
        </w:rPr>
      </w:pPr>
    </w:p>
    <w:p w14:paraId="36E45E39" w14:textId="77777777" w:rsidR="009F1BE3" w:rsidRDefault="009F1BE3" w:rsidP="0085327F">
      <w:pPr>
        <w:ind w:left="720"/>
        <w:rPr>
          <w:u w:val="single"/>
        </w:rPr>
      </w:pPr>
    </w:p>
    <w:p w14:paraId="71FF73B1" w14:textId="77777777" w:rsidR="0085327F" w:rsidRPr="0085327F" w:rsidRDefault="0085327F" w:rsidP="0085327F">
      <w:pPr>
        <w:ind w:left="720"/>
        <w:rPr>
          <w:u w:val="single"/>
        </w:rPr>
      </w:pPr>
      <w:r w:rsidRPr="0085327F">
        <w:rPr>
          <w:u w:val="single"/>
        </w:rPr>
        <w:t>Example 3</w:t>
      </w:r>
    </w:p>
    <w:p w14:paraId="700635F9" w14:textId="2C04426E" w:rsidR="0085327F" w:rsidRDefault="0085327F" w:rsidP="0085327F">
      <w:pPr>
        <w:pStyle w:val="ListParagraph"/>
        <w:numPr>
          <w:ilvl w:val="0"/>
          <w:numId w:val="4"/>
        </w:numPr>
      </w:pPr>
      <w:r>
        <w:t>Employee has a current date of the 8</w:t>
      </w:r>
      <w:r w:rsidRPr="009F1BE3">
        <w:rPr>
          <w:vertAlign w:val="superscript"/>
        </w:rPr>
        <w:t>th</w:t>
      </w:r>
      <w:r>
        <w:t xml:space="preserve"> and is off for miles when</w:t>
      </w:r>
      <w:r w:rsidR="009F1BE3">
        <w:t xml:space="preserve"> changes take place on January </w:t>
      </w:r>
      <w:r w:rsidR="005238DA">
        <w:t>5</w:t>
      </w:r>
      <w:r>
        <w:t>.</w:t>
      </w:r>
    </w:p>
    <w:p w14:paraId="39518838" w14:textId="3F97B342" w:rsidR="0085327F" w:rsidRDefault="009F1BE3" w:rsidP="0085327F">
      <w:pPr>
        <w:pStyle w:val="ListParagraph"/>
        <w:numPr>
          <w:ilvl w:val="0"/>
          <w:numId w:val="4"/>
        </w:numPr>
      </w:pPr>
      <w:r>
        <w:t xml:space="preserve">On January </w:t>
      </w:r>
      <w:r w:rsidR="005238DA">
        <w:t>5</w:t>
      </w:r>
      <w:r w:rsidR="0085327F">
        <w:t>, employee receives a new mileage date of the 20</w:t>
      </w:r>
      <w:r w:rsidR="0085327F" w:rsidRPr="00FB645D">
        <w:rPr>
          <w:vertAlign w:val="superscript"/>
        </w:rPr>
        <w:t>th</w:t>
      </w:r>
      <w:r w:rsidR="0085327F">
        <w:t>.</w:t>
      </w:r>
    </w:p>
    <w:p w14:paraId="07E3A271" w14:textId="77777777" w:rsidR="0085327F" w:rsidRDefault="0085327F" w:rsidP="0085327F">
      <w:pPr>
        <w:pStyle w:val="ListParagraph"/>
        <w:numPr>
          <w:ilvl w:val="0"/>
          <w:numId w:val="4"/>
        </w:numPr>
      </w:pPr>
      <w:r>
        <w:t xml:space="preserve">On January 7 at 2201 employee will be booked back on and his mileage reset to zero.  </w:t>
      </w:r>
    </w:p>
    <w:p w14:paraId="42DB7136" w14:textId="77777777" w:rsidR="0085327F" w:rsidRDefault="0085327F" w:rsidP="0085327F">
      <w:pPr>
        <w:pStyle w:val="ListParagraph"/>
        <w:numPr>
          <w:ilvl w:val="0"/>
          <w:numId w:val="4"/>
        </w:numPr>
      </w:pPr>
      <w:r>
        <w:t>The Employee’s new mileage date will be reset on January 20</w:t>
      </w:r>
      <w:r w:rsidRPr="00FB645D">
        <w:rPr>
          <w:vertAlign w:val="superscript"/>
        </w:rPr>
        <w:t>th</w:t>
      </w:r>
      <w:r>
        <w:t>.   </w:t>
      </w:r>
    </w:p>
    <w:p w14:paraId="77930C3D" w14:textId="77777777" w:rsidR="00FB645D" w:rsidRDefault="00FB645D" w:rsidP="00FB645D"/>
    <w:bookmarkEnd w:id="0"/>
    <w:p w14:paraId="5F498861" w14:textId="77777777" w:rsidR="000266A3" w:rsidRDefault="000266A3" w:rsidP="00FB645D"/>
    <w:sectPr w:rsidR="000266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06D32"/>
    <w:multiLevelType w:val="hybridMultilevel"/>
    <w:tmpl w:val="B2BA3EBA"/>
    <w:lvl w:ilvl="0" w:tplc="0409000B">
      <w:start w:val="1"/>
      <w:numFmt w:val="bullet"/>
      <w:lvlText w:val=""/>
      <w:lvlJc w:val="left"/>
      <w:pPr>
        <w:ind w:left="1465" w:hanging="360"/>
      </w:pPr>
      <w:rPr>
        <w:rFonts w:ascii="Wingdings" w:hAnsi="Wingdings" w:hint="default"/>
      </w:rPr>
    </w:lvl>
    <w:lvl w:ilvl="1" w:tplc="04090003" w:tentative="1">
      <w:start w:val="1"/>
      <w:numFmt w:val="bullet"/>
      <w:lvlText w:val="o"/>
      <w:lvlJc w:val="left"/>
      <w:pPr>
        <w:ind w:left="2185" w:hanging="360"/>
      </w:pPr>
      <w:rPr>
        <w:rFonts w:ascii="Courier New" w:hAnsi="Courier New" w:cs="Courier New" w:hint="default"/>
      </w:rPr>
    </w:lvl>
    <w:lvl w:ilvl="2" w:tplc="04090005" w:tentative="1">
      <w:start w:val="1"/>
      <w:numFmt w:val="bullet"/>
      <w:lvlText w:val=""/>
      <w:lvlJc w:val="left"/>
      <w:pPr>
        <w:ind w:left="2905" w:hanging="360"/>
      </w:pPr>
      <w:rPr>
        <w:rFonts w:ascii="Wingdings" w:hAnsi="Wingdings" w:hint="default"/>
      </w:rPr>
    </w:lvl>
    <w:lvl w:ilvl="3" w:tplc="04090001" w:tentative="1">
      <w:start w:val="1"/>
      <w:numFmt w:val="bullet"/>
      <w:lvlText w:val=""/>
      <w:lvlJc w:val="left"/>
      <w:pPr>
        <w:ind w:left="3625" w:hanging="360"/>
      </w:pPr>
      <w:rPr>
        <w:rFonts w:ascii="Symbol" w:hAnsi="Symbol" w:hint="default"/>
      </w:rPr>
    </w:lvl>
    <w:lvl w:ilvl="4" w:tplc="04090003" w:tentative="1">
      <w:start w:val="1"/>
      <w:numFmt w:val="bullet"/>
      <w:lvlText w:val="o"/>
      <w:lvlJc w:val="left"/>
      <w:pPr>
        <w:ind w:left="4345" w:hanging="360"/>
      </w:pPr>
      <w:rPr>
        <w:rFonts w:ascii="Courier New" w:hAnsi="Courier New" w:cs="Courier New" w:hint="default"/>
      </w:rPr>
    </w:lvl>
    <w:lvl w:ilvl="5" w:tplc="04090005" w:tentative="1">
      <w:start w:val="1"/>
      <w:numFmt w:val="bullet"/>
      <w:lvlText w:val=""/>
      <w:lvlJc w:val="left"/>
      <w:pPr>
        <w:ind w:left="5065" w:hanging="360"/>
      </w:pPr>
      <w:rPr>
        <w:rFonts w:ascii="Wingdings" w:hAnsi="Wingdings" w:hint="default"/>
      </w:rPr>
    </w:lvl>
    <w:lvl w:ilvl="6" w:tplc="04090001" w:tentative="1">
      <w:start w:val="1"/>
      <w:numFmt w:val="bullet"/>
      <w:lvlText w:val=""/>
      <w:lvlJc w:val="left"/>
      <w:pPr>
        <w:ind w:left="5785" w:hanging="360"/>
      </w:pPr>
      <w:rPr>
        <w:rFonts w:ascii="Symbol" w:hAnsi="Symbol" w:hint="default"/>
      </w:rPr>
    </w:lvl>
    <w:lvl w:ilvl="7" w:tplc="04090003" w:tentative="1">
      <w:start w:val="1"/>
      <w:numFmt w:val="bullet"/>
      <w:lvlText w:val="o"/>
      <w:lvlJc w:val="left"/>
      <w:pPr>
        <w:ind w:left="6505" w:hanging="360"/>
      </w:pPr>
      <w:rPr>
        <w:rFonts w:ascii="Courier New" w:hAnsi="Courier New" w:cs="Courier New" w:hint="default"/>
      </w:rPr>
    </w:lvl>
    <w:lvl w:ilvl="8" w:tplc="04090005" w:tentative="1">
      <w:start w:val="1"/>
      <w:numFmt w:val="bullet"/>
      <w:lvlText w:val=""/>
      <w:lvlJc w:val="left"/>
      <w:pPr>
        <w:ind w:left="7225" w:hanging="360"/>
      </w:pPr>
      <w:rPr>
        <w:rFonts w:ascii="Wingdings" w:hAnsi="Wingdings" w:hint="default"/>
      </w:rPr>
    </w:lvl>
  </w:abstractNum>
  <w:abstractNum w:abstractNumId="1" w15:restartNumberingAfterBreak="0">
    <w:nsid w:val="47C22738"/>
    <w:multiLevelType w:val="hybridMultilevel"/>
    <w:tmpl w:val="8046850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BF54CB6"/>
    <w:multiLevelType w:val="hybridMultilevel"/>
    <w:tmpl w:val="DE0E46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722878"/>
    <w:multiLevelType w:val="hybridMultilevel"/>
    <w:tmpl w:val="DE0E46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6440133">
    <w:abstractNumId w:val="3"/>
  </w:num>
  <w:num w:numId="2" w16cid:durableId="1495026135">
    <w:abstractNumId w:val="2"/>
  </w:num>
  <w:num w:numId="3" w16cid:durableId="1360160693">
    <w:abstractNumId w:val="1"/>
  </w:num>
  <w:num w:numId="4" w16cid:durableId="1910918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5C9"/>
    <w:rsid w:val="000266A3"/>
    <w:rsid w:val="000950F4"/>
    <w:rsid w:val="000A343E"/>
    <w:rsid w:val="000D4D81"/>
    <w:rsid w:val="000E5889"/>
    <w:rsid w:val="000F49B5"/>
    <w:rsid w:val="000F5DF7"/>
    <w:rsid w:val="00154C9A"/>
    <w:rsid w:val="00195D6F"/>
    <w:rsid w:val="002100E0"/>
    <w:rsid w:val="002B4209"/>
    <w:rsid w:val="002E746B"/>
    <w:rsid w:val="003036E3"/>
    <w:rsid w:val="00370E77"/>
    <w:rsid w:val="003B796F"/>
    <w:rsid w:val="0044079F"/>
    <w:rsid w:val="00451F08"/>
    <w:rsid w:val="00452520"/>
    <w:rsid w:val="004528C8"/>
    <w:rsid w:val="004910CC"/>
    <w:rsid w:val="005238DA"/>
    <w:rsid w:val="00591186"/>
    <w:rsid w:val="00665C06"/>
    <w:rsid w:val="006C139B"/>
    <w:rsid w:val="006F7BBA"/>
    <w:rsid w:val="006F7C48"/>
    <w:rsid w:val="0072535B"/>
    <w:rsid w:val="007272EA"/>
    <w:rsid w:val="007979DB"/>
    <w:rsid w:val="007A5384"/>
    <w:rsid w:val="007F05C9"/>
    <w:rsid w:val="00841F4F"/>
    <w:rsid w:val="0085327F"/>
    <w:rsid w:val="008730E7"/>
    <w:rsid w:val="00901F7F"/>
    <w:rsid w:val="00934284"/>
    <w:rsid w:val="009D6FB5"/>
    <w:rsid w:val="009F1BE3"/>
    <w:rsid w:val="009F2357"/>
    <w:rsid w:val="00A3660A"/>
    <w:rsid w:val="00AE0342"/>
    <w:rsid w:val="00AF4208"/>
    <w:rsid w:val="00B74766"/>
    <w:rsid w:val="00BA2A4F"/>
    <w:rsid w:val="00BA36AD"/>
    <w:rsid w:val="00BB4233"/>
    <w:rsid w:val="00C06062"/>
    <w:rsid w:val="00C0787B"/>
    <w:rsid w:val="00C13218"/>
    <w:rsid w:val="00C27E65"/>
    <w:rsid w:val="00C5266D"/>
    <w:rsid w:val="00C5271D"/>
    <w:rsid w:val="00C677DD"/>
    <w:rsid w:val="00DC7BE0"/>
    <w:rsid w:val="00E42E3A"/>
    <w:rsid w:val="00E719C5"/>
    <w:rsid w:val="00EC10D7"/>
    <w:rsid w:val="00ED2C22"/>
    <w:rsid w:val="00ED3C78"/>
    <w:rsid w:val="00EE027B"/>
    <w:rsid w:val="00F543E1"/>
    <w:rsid w:val="00F717DE"/>
    <w:rsid w:val="00F82235"/>
    <w:rsid w:val="00F93975"/>
    <w:rsid w:val="00FB645D"/>
    <w:rsid w:val="00FC0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5F7AC"/>
  <w15:chartTrackingRefBased/>
  <w15:docId w15:val="{F2D60217-1214-449E-8E17-866322288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4209"/>
    <w:pPr>
      <w:ind w:left="720"/>
      <w:contextualSpacing/>
    </w:pPr>
  </w:style>
  <w:style w:type="paragraph" w:styleId="BalloonText">
    <w:name w:val="Balloon Text"/>
    <w:basedOn w:val="Normal"/>
    <w:link w:val="BalloonTextChar"/>
    <w:uiPriority w:val="99"/>
    <w:semiHidden/>
    <w:unhideWhenUsed/>
    <w:rsid w:val="007253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535B"/>
    <w:rPr>
      <w:rFonts w:ascii="Segoe UI" w:hAnsi="Segoe UI" w:cs="Segoe UI"/>
      <w:sz w:val="18"/>
      <w:szCs w:val="18"/>
    </w:rPr>
  </w:style>
  <w:style w:type="paragraph" w:styleId="NoSpacing">
    <w:name w:val="No Spacing"/>
    <w:uiPriority w:val="1"/>
    <w:qFormat/>
    <w:rsid w:val="00C677DD"/>
    <w:pPr>
      <w:spacing w:after="0" w:line="240" w:lineRule="auto"/>
    </w:pPr>
  </w:style>
  <w:style w:type="paragraph" w:styleId="Title">
    <w:name w:val="Title"/>
    <w:basedOn w:val="Normal"/>
    <w:next w:val="Normal"/>
    <w:link w:val="TitleChar"/>
    <w:autoRedefine/>
    <w:uiPriority w:val="10"/>
    <w:qFormat/>
    <w:rsid w:val="00901F7F"/>
    <w:pPr>
      <w:pBdr>
        <w:bottom w:val="single" w:sz="8" w:space="4" w:color="4472C4" w:themeColor="accent1"/>
      </w:pBdr>
      <w:spacing w:before="240" w:after="240" w:line="240" w:lineRule="auto"/>
      <w:contextualSpacing/>
    </w:pPr>
    <w:rPr>
      <w:rFonts w:ascii="Calibri" w:eastAsiaTheme="majorEastAsia" w:hAnsi="Calibri" w:cstheme="majorBidi"/>
      <w:b/>
      <w:color w:val="323E4F" w:themeColor="text2" w:themeShade="BF"/>
      <w:spacing w:val="5"/>
      <w:kern w:val="28"/>
      <w:sz w:val="32"/>
      <w:szCs w:val="32"/>
    </w:rPr>
  </w:style>
  <w:style w:type="character" w:customStyle="1" w:styleId="TitleChar">
    <w:name w:val="Title Char"/>
    <w:basedOn w:val="DefaultParagraphFont"/>
    <w:link w:val="Title"/>
    <w:uiPriority w:val="10"/>
    <w:rsid w:val="00901F7F"/>
    <w:rPr>
      <w:rFonts w:ascii="Calibri" w:eastAsiaTheme="majorEastAsia" w:hAnsi="Calibri" w:cstheme="majorBidi"/>
      <w:b/>
      <w:color w:val="323E4F" w:themeColor="text2" w:themeShade="BF"/>
      <w:spacing w:val="5"/>
      <w:kern w:val="28"/>
      <w:sz w:val="32"/>
      <w:szCs w:val="32"/>
    </w:rPr>
  </w:style>
  <w:style w:type="table" w:styleId="ColorfulList">
    <w:name w:val="Colorful List"/>
    <w:basedOn w:val="TableNormal"/>
    <w:uiPriority w:val="72"/>
    <w:rsid w:val="00901F7F"/>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character" w:styleId="BookTitle">
    <w:name w:val="Book Title"/>
    <w:basedOn w:val="DefaultParagraphFont"/>
    <w:uiPriority w:val="33"/>
    <w:qFormat/>
    <w:rsid w:val="00901F7F"/>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00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718</Words>
  <Characters>4095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Apsey</dc:creator>
  <cp:keywords/>
  <dc:description/>
  <cp:lastModifiedBy>Christopher Martinson</cp:lastModifiedBy>
  <cp:revision>2</cp:revision>
  <dcterms:created xsi:type="dcterms:W3CDTF">2025-10-14T22:16:00Z</dcterms:created>
  <dcterms:modified xsi:type="dcterms:W3CDTF">2025-10-14T22:16:00Z</dcterms:modified>
</cp:coreProperties>
</file>