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B786" w14:textId="77777777" w:rsidR="00D87188" w:rsidRDefault="00D87188" w:rsidP="0043649C">
      <w:pPr>
        <w:pStyle w:val="Heading5"/>
      </w:pPr>
    </w:p>
    <w:p w14:paraId="1E8089F7" w14:textId="77777777" w:rsidR="00D87188" w:rsidRDefault="00D87188" w:rsidP="00D87188">
      <w:pPr>
        <w:pStyle w:val="Heading2"/>
        <w:spacing w:before="0" w:after="60"/>
        <w:rPr>
          <w:rFonts w:asciiTheme="minorHAnsi" w:hAnsiTheme="minorHAnsi"/>
        </w:rPr>
      </w:pPr>
      <w:bookmarkStart w:id="0" w:name="_Toc198216827"/>
      <w:r w:rsidRPr="00EF495B">
        <w:rPr>
          <w:rFonts w:asciiTheme="minorHAnsi" w:hAnsiTheme="minorHAnsi"/>
        </w:rPr>
        <w:t>Chapter 1: Understanding the Federal Acquisition Process</w:t>
      </w:r>
      <w:bookmarkEnd w:id="0"/>
      <w:r w:rsidRPr="00EF495B">
        <w:rPr>
          <w:rFonts w:asciiTheme="minorHAnsi" w:hAnsiTheme="minorHAnsi"/>
        </w:rPr>
        <w:t xml:space="preserve"> </w:t>
      </w:r>
    </w:p>
    <w:p w14:paraId="44398F3D" w14:textId="77777777" w:rsidR="00D87188" w:rsidRPr="00364B95" w:rsidRDefault="00D87188" w:rsidP="00D87188">
      <w:pPr>
        <w:spacing w:before="100" w:beforeAutospacing="1" w:after="100" w:afterAutospacing="1" w:line="240" w:lineRule="auto"/>
      </w:pPr>
      <w:r w:rsidRPr="00364B95">
        <w:t>Every federal proposal is shaped by the rules, structures, and decision-making pathways of the federal acquisition process. To write a winning proposal, you must first understand the system behind the solicitation. This chapter introduces the federal acquisition framework—how the government plans procurements, issues solicitations, evaluates offers, and awards contracts.</w:t>
      </w:r>
    </w:p>
    <w:p w14:paraId="6F38EE13" w14:textId="77777777" w:rsidR="00D87188" w:rsidRPr="00364B95" w:rsidRDefault="00D87188" w:rsidP="00D87188">
      <w:pPr>
        <w:spacing w:before="100" w:beforeAutospacing="1" w:after="100" w:afterAutospacing="1" w:line="240" w:lineRule="auto"/>
      </w:pPr>
      <w:r w:rsidRPr="00364B95">
        <w:t>It outlines the core phases of the acquisition lifecycle, the regulatory foundations such as the Federal Acquisition Regulation (FAR), and the roles of key players, including contracting officers, program managers, and source selection authorities. Understanding these elements provides essential context for every proposal activity—from opportunity qualification and capture to submission and award.</w:t>
      </w:r>
    </w:p>
    <w:p w14:paraId="761243B6" w14:textId="77777777" w:rsidR="00D87188" w:rsidRDefault="00D87188" w:rsidP="00D87188">
      <w:pPr>
        <w:spacing w:before="100" w:beforeAutospacing="1" w:after="100" w:afterAutospacing="1" w:line="240" w:lineRule="auto"/>
      </w:pPr>
      <w:r w:rsidRPr="00364B95">
        <w:t>Whether you're supporting pre-RFP positioning or developing a final volume, this chapter equips you with the knowledge to align your strategy with how the government buys.</w:t>
      </w:r>
    </w:p>
    <w:p w14:paraId="35BCA437" w14:textId="77777777" w:rsidR="00D87188" w:rsidRPr="00364B95" w:rsidRDefault="00D87188" w:rsidP="00D87188">
      <w:pPr>
        <w:spacing w:before="100" w:beforeAutospacing="1" w:after="100" w:afterAutospacing="1" w:line="240" w:lineRule="auto"/>
      </w:pPr>
      <w:r w:rsidRPr="00454A2E">
        <w:t>This chapter introduces the structure and flow of the federal acquisition process—from early planning and market research through solicitation, evaluation, award, and contract execution. It explains the key roles played by contracting officers, program managers, and industry partners, and highlights how the Federal Acquisition Regulation (FAR) governs each phase. Understanding this process provides critical context for how opportunities are shaped, how decisions are made, and how contractors must align their capture and proposal efforts to succeed.</w:t>
      </w:r>
    </w:p>
    <w:p w14:paraId="20F498A4" w14:textId="77777777" w:rsidR="00D87188" w:rsidRPr="00EF495B" w:rsidRDefault="00D87188" w:rsidP="00D87188">
      <w:pPr>
        <w:spacing w:after="60" w:line="240" w:lineRule="auto"/>
        <w:rPr>
          <w:b/>
          <w:bCs/>
        </w:rPr>
      </w:pPr>
      <w:r w:rsidRPr="00EF495B">
        <w:rPr>
          <w:b/>
          <w:bCs/>
        </w:rPr>
        <w:t>Federal Acquisition Lifecycle</w:t>
      </w:r>
    </w:p>
    <w:p w14:paraId="62908A11" w14:textId="77777777" w:rsidR="00D87188" w:rsidRPr="00EF495B" w:rsidRDefault="00D87188" w:rsidP="00D87188">
      <w:pPr>
        <w:spacing w:after="60" w:line="240" w:lineRule="auto"/>
        <w:rPr>
          <w:b/>
          <w:bCs/>
        </w:rPr>
      </w:pPr>
      <w:r w:rsidRPr="00EF495B">
        <w:rPr>
          <w:b/>
          <w:bCs/>
        </w:rPr>
        <w:t xml:space="preserve"> What They Mean for Proposal Writers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7"/>
        <w:gridCol w:w="30"/>
        <w:gridCol w:w="2150"/>
        <w:gridCol w:w="30"/>
        <w:gridCol w:w="5783"/>
      </w:tblGrid>
      <w:tr w:rsidR="00D87188" w:rsidRPr="00EF495B" w14:paraId="4286565F" w14:textId="77777777" w:rsidTr="00FD4382">
        <w:trPr>
          <w:tblHeader/>
          <w:tblCellSpacing w:w="15" w:type="dxa"/>
        </w:trPr>
        <w:tc>
          <w:tcPr>
            <w:tcW w:w="0" w:type="auto"/>
            <w:vAlign w:val="center"/>
            <w:hideMark/>
          </w:tcPr>
          <w:p w14:paraId="5E0D9ABF" w14:textId="77777777" w:rsidR="00D87188" w:rsidRPr="00EF495B" w:rsidRDefault="00D87188" w:rsidP="00FD4382">
            <w:pPr>
              <w:spacing w:after="60" w:line="240" w:lineRule="auto"/>
              <w:jc w:val="center"/>
              <w:rPr>
                <w:b/>
                <w:bCs/>
              </w:rPr>
            </w:pPr>
            <w:r w:rsidRPr="00EF495B">
              <w:rPr>
                <w:b/>
                <w:bCs/>
              </w:rPr>
              <w:t>Phase</w:t>
            </w:r>
          </w:p>
        </w:tc>
        <w:tc>
          <w:tcPr>
            <w:tcW w:w="2362" w:type="dxa"/>
            <w:gridSpan w:val="3"/>
            <w:vAlign w:val="center"/>
            <w:hideMark/>
          </w:tcPr>
          <w:p w14:paraId="4AF672CB" w14:textId="77777777" w:rsidR="00D87188" w:rsidRPr="00EF495B" w:rsidRDefault="00D87188" w:rsidP="00FD4382">
            <w:pPr>
              <w:spacing w:after="60" w:line="240" w:lineRule="auto"/>
              <w:jc w:val="center"/>
              <w:rPr>
                <w:b/>
                <w:bCs/>
              </w:rPr>
            </w:pPr>
            <w:r w:rsidRPr="00EF495B">
              <w:rPr>
                <w:b/>
                <w:bCs/>
              </w:rPr>
              <w:t>Government Activity</w:t>
            </w:r>
          </w:p>
        </w:tc>
        <w:tc>
          <w:tcPr>
            <w:tcW w:w="5364" w:type="dxa"/>
            <w:vAlign w:val="center"/>
            <w:hideMark/>
          </w:tcPr>
          <w:p w14:paraId="6B9EB4AE" w14:textId="77777777" w:rsidR="00D87188" w:rsidRPr="00EF495B" w:rsidRDefault="00D87188" w:rsidP="00FD4382">
            <w:pPr>
              <w:spacing w:after="60" w:line="240" w:lineRule="auto"/>
              <w:jc w:val="center"/>
              <w:rPr>
                <w:b/>
                <w:bCs/>
              </w:rPr>
            </w:pPr>
            <w:r w:rsidRPr="00EF495B">
              <w:rPr>
                <w:b/>
                <w:bCs/>
              </w:rPr>
              <w:t>Proposal Writer’s Focus</w:t>
            </w:r>
          </w:p>
        </w:tc>
      </w:tr>
      <w:tr w:rsidR="00D87188" w:rsidRPr="00EF495B" w14:paraId="37ED10EB" w14:textId="77777777" w:rsidTr="00FD4382">
        <w:trPr>
          <w:tblCellSpacing w:w="15" w:type="dxa"/>
        </w:trPr>
        <w:tc>
          <w:tcPr>
            <w:tcW w:w="0" w:type="auto"/>
            <w:gridSpan w:val="2"/>
            <w:vAlign w:val="center"/>
            <w:hideMark/>
          </w:tcPr>
          <w:p w14:paraId="36AC485D" w14:textId="77777777" w:rsidR="00D87188" w:rsidRPr="00EF495B" w:rsidRDefault="00D87188" w:rsidP="00FD4382">
            <w:pPr>
              <w:spacing w:after="60" w:line="240" w:lineRule="auto"/>
              <w:jc w:val="center"/>
            </w:pPr>
            <w:r w:rsidRPr="00EF495B">
              <w:rPr>
                <w:b/>
                <w:bCs/>
              </w:rPr>
              <w:t>Market Research</w:t>
            </w:r>
            <w:r w:rsidRPr="00EF495B">
              <w:t xml:space="preserve"> (FAR Part 10)</w:t>
            </w:r>
          </w:p>
        </w:tc>
        <w:tc>
          <w:tcPr>
            <w:tcW w:w="0" w:type="auto"/>
            <w:vAlign w:val="center"/>
            <w:hideMark/>
          </w:tcPr>
          <w:p w14:paraId="0A60E710" w14:textId="77777777" w:rsidR="00D87188" w:rsidRPr="00EF495B" w:rsidRDefault="00D87188" w:rsidP="00FD4382">
            <w:pPr>
              <w:spacing w:after="60" w:line="240" w:lineRule="auto"/>
            </w:pPr>
            <w:r w:rsidRPr="00EF495B">
              <w:t>Issues RFIs, Sources Sought, conducts industry outreach.</w:t>
            </w:r>
          </w:p>
        </w:tc>
        <w:tc>
          <w:tcPr>
            <w:tcW w:w="0" w:type="auto"/>
            <w:gridSpan w:val="2"/>
            <w:vAlign w:val="center"/>
            <w:hideMark/>
          </w:tcPr>
          <w:p w14:paraId="428D0B08" w14:textId="77777777" w:rsidR="00D87188" w:rsidRPr="00EF495B" w:rsidRDefault="00D87188" w:rsidP="00FD4382">
            <w:pPr>
              <w:spacing w:after="60" w:line="240" w:lineRule="auto"/>
            </w:pPr>
            <w:r w:rsidRPr="00EF495B">
              <w:t>Prepare capability statements, articulate differentiators, and begin shaping.</w:t>
            </w:r>
          </w:p>
        </w:tc>
      </w:tr>
      <w:tr w:rsidR="00D87188" w:rsidRPr="00EF495B" w14:paraId="314ECB2B" w14:textId="77777777" w:rsidTr="00FD4382">
        <w:trPr>
          <w:tblCellSpacing w:w="15" w:type="dxa"/>
        </w:trPr>
        <w:tc>
          <w:tcPr>
            <w:tcW w:w="0" w:type="auto"/>
            <w:gridSpan w:val="2"/>
            <w:vAlign w:val="center"/>
            <w:hideMark/>
          </w:tcPr>
          <w:p w14:paraId="1CAEC723" w14:textId="77777777" w:rsidR="00D87188" w:rsidRPr="00EF495B" w:rsidRDefault="00D87188" w:rsidP="00FD4382">
            <w:pPr>
              <w:spacing w:after="60" w:line="240" w:lineRule="auto"/>
              <w:jc w:val="center"/>
            </w:pPr>
            <w:r w:rsidRPr="00EF495B">
              <w:rPr>
                <w:b/>
                <w:bCs/>
              </w:rPr>
              <w:t>Pre-Solicitation</w:t>
            </w:r>
          </w:p>
        </w:tc>
        <w:tc>
          <w:tcPr>
            <w:tcW w:w="0" w:type="auto"/>
            <w:vAlign w:val="center"/>
            <w:hideMark/>
          </w:tcPr>
          <w:p w14:paraId="781A534B" w14:textId="77777777" w:rsidR="00D87188" w:rsidRPr="00EF495B" w:rsidRDefault="00D87188" w:rsidP="00FD4382">
            <w:pPr>
              <w:spacing w:after="60" w:line="240" w:lineRule="auto"/>
            </w:pPr>
            <w:r w:rsidRPr="00EF495B">
              <w:t>Releases draft RFPs, schedules industry days.</w:t>
            </w:r>
          </w:p>
        </w:tc>
        <w:tc>
          <w:tcPr>
            <w:tcW w:w="0" w:type="auto"/>
            <w:gridSpan w:val="2"/>
            <w:vAlign w:val="center"/>
            <w:hideMark/>
          </w:tcPr>
          <w:p w14:paraId="24FA4C53" w14:textId="77777777" w:rsidR="00D87188" w:rsidRPr="00EF495B" w:rsidRDefault="00D87188" w:rsidP="00FD4382">
            <w:pPr>
              <w:spacing w:after="60" w:line="240" w:lineRule="auto"/>
            </w:pPr>
            <w:r w:rsidRPr="00EF495B">
              <w:t>Help respond to draft language, begin outlining proposal sections, support Capture.</w:t>
            </w:r>
          </w:p>
        </w:tc>
      </w:tr>
      <w:tr w:rsidR="00D87188" w:rsidRPr="00EF495B" w14:paraId="6A1A16F6" w14:textId="77777777" w:rsidTr="00FD4382">
        <w:trPr>
          <w:tblCellSpacing w:w="15" w:type="dxa"/>
        </w:trPr>
        <w:tc>
          <w:tcPr>
            <w:tcW w:w="0" w:type="auto"/>
            <w:gridSpan w:val="2"/>
            <w:vAlign w:val="center"/>
            <w:hideMark/>
          </w:tcPr>
          <w:p w14:paraId="36D5013F" w14:textId="77777777" w:rsidR="00D87188" w:rsidRPr="00EF495B" w:rsidRDefault="00D87188" w:rsidP="00FD4382">
            <w:pPr>
              <w:spacing w:after="60" w:line="240" w:lineRule="auto"/>
              <w:jc w:val="center"/>
            </w:pPr>
            <w:r w:rsidRPr="00EF495B">
              <w:rPr>
                <w:b/>
                <w:bCs/>
              </w:rPr>
              <w:t>Solicitation</w:t>
            </w:r>
            <w:r w:rsidRPr="00EF495B">
              <w:t xml:space="preserve"> (FAR Part 5, 12, or 15)</w:t>
            </w:r>
          </w:p>
        </w:tc>
        <w:tc>
          <w:tcPr>
            <w:tcW w:w="0" w:type="auto"/>
            <w:vAlign w:val="center"/>
            <w:hideMark/>
          </w:tcPr>
          <w:p w14:paraId="249D9273" w14:textId="77777777" w:rsidR="00D87188" w:rsidRPr="00EF495B" w:rsidRDefault="00D87188" w:rsidP="00FD4382">
            <w:pPr>
              <w:spacing w:after="60" w:line="240" w:lineRule="auto"/>
            </w:pPr>
            <w:r w:rsidRPr="00EF495B">
              <w:t>Publishes RFP, RFQ, or Combined Synopsis/Solicitation.</w:t>
            </w:r>
          </w:p>
        </w:tc>
        <w:tc>
          <w:tcPr>
            <w:tcW w:w="0" w:type="auto"/>
            <w:gridSpan w:val="2"/>
            <w:vAlign w:val="center"/>
            <w:hideMark/>
          </w:tcPr>
          <w:p w14:paraId="4C0800F8" w14:textId="77777777" w:rsidR="00D87188" w:rsidRPr="00EF495B" w:rsidRDefault="00D87188" w:rsidP="00FD4382">
            <w:pPr>
              <w:spacing w:after="60" w:line="240" w:lineRule="auto"/>
            </w:pPr>
            <w:r w:rsidRPr="00EF495B">
              <w:t xml:space="preserve">Read RFP </w:t>
            </w:r>
            <w:r w:rsidRPr="00EF495B">
              <w:rPr>
                <w:i/>
                <w:iCs/>
              </w:rPr>
              <w:t>carefully</w:t>
            </w:r>
            <w:r w:rsidRPr="00EF495B">
              <w:t>. Build compliance matrix, identify Section L (instructions) and M (evaluation criteria), start writing volumes.</w:t>
            </w:r>
          </w:p>
        </w:tc>
      </w:tr>
      <w:tr w:rsidR="00D87188" w:rsidRPr="00EF495B" w14:paraId="281C5D8C" w14:textId="77777777" w:rsidTr="00FD4382">
        <w:trPr>
          <w:tblCellSpacing w:w="15" w:type="dxa"/>
        </w:trPr>
        <w:tc>
          <w:tcPr>
            <w:tcW w:w="0" w:type="auto"/>
            <w:gridSpan w:val="2"/>
            <w:vAlign w:val="center"/>
            <w:hideMark/>
          </w:tcPr>
          <w:p w14:paraId="05EFD8A7" w14:textId="77777777" w:rsidR="00D87188" w:rsidRPr="00EF495B" w:rsidRDefault="00D87188" w:rsidP="00FD4382">
            <w:pPr>
              <w:spacing w:after="60" w:line="240" w:lineRule="auto"/>
              <w:jc w:val="center"/>
            </w:pPr>
            <w:r w:rsidRPr="00EF495B">
              <w:rPr>
                <w:b/>
                <w:bCs/>
              </w:rPr>
              <w:t>Proposal Evaluation</w:t>
            </w:r>
            <w:r w:rsidRPr="00EF495B">
              <w:t xml:space="preserve"> (FAR Part 15.3)</w:t>
            </w:r>
          </w:p>
        </w:tc>
        <w:tc>
          <w:tcPr>
            <w:tcW w:w="0" w:type="auto"/>
            <w:vAlign w:val="center"/>
            <w:hideMark/>
          </w:tcPr>
          <w:p w14:paraId="5D5726C1" w14:textId="77777777" w:rsidR="00D87188" w:rsidRPr="00EF495B" w:rsidRDefault="00D87188" w:rsidP="00FD4382">
            <w:pPr>
              <w:spacing w:after="60" w:line="240" w:lineRule="auto"/>
            </w:pPr>
            <w:r w:rsidRPr="00EF495B">
              <w:t xml:space="preserve">Uses source selection panels, often </w:t>
            </w:r>
            <w:proofErr w:type="gramStart"/>
            <w:r w:rsidRPr="00EF495B">
              <w:t>applies</w:t>
            </w:r>
            <w:proofErr w:type="gramEnd"/>
            <w:r w:rsidRPr="00EF495B">
              <w:t xml:space="preserve"> Best Value or LPTA.</w:t>
            </w:r>
          </w:p>
        </w:tc>
        <w:tc>
          <w:tcPr>
            <w:tcW w:w="0" w:type="auto"/>
            <w:gridSpan w:val="2"/>
            <w:vAlign w:val="center"/>
            <w:hideMark/>
          </w:tcPr>
          <w:p w14:paraId="73769AC5" w14:textId="77777777" w:rsidR="00D87188" w:rsidRPr="00EF495B" w:rsidRDefault="00D87188" w:rsidP="00FD4382">
            <w:pPr>
              <w:spacing w:after="60" w:line="240" w:lineRule="auto"/>
            </w:pPr>
            <w:r w:rsidRPr="00EF495B">
              <w:t>Ensure your proposal is easy to score—address each criterion explicitly and persuasively.</w:t>
            </w:r>
          </w:p>
        </w:tc>
      </w:tr>
      <w:tr w:rsidR="00D87188" w:rsidRPr="00EF495B" w14:paraId="1A483696" w14:textId="77777777" w:rsidTr="00FD4382">
        <w:trPr>
          <w:tblCellSpacing w:w="15" w:type="dxa"/>
        </w:trPr>
        <w:tc>
          <w:tcPr>
            <w:tcW w:w="0" w:type="auto"/>
            <w:gridSpan w:val="2"/>
            <w:vAlign w:val="center"/>
            <w:hideMark/>
          </w:tcPr>
          <w:p w14:paraId="633D7F93" w14:textId="77777777" w:rsidR="00D87188" w:rsidRPr="00EF495B" w:rsidRDefault="00D87188" w:rsidP="00FD4382">
            <w:pPr>
              <w:spacing w:after="60" w:line="240" w:lineRule="auto"/>
              <w:jc w:val="center"/>
            </w:pPr>
            <w:r w:rsidRPr="00EF495B">
              <w:rPr>
                <w:b/>
                <w:bCs/>
              </w:rPr>
              <w:lastRenderedPageBreak/>
              <w:t>Discussions &amp; Clarifications</w:t>
            </w:r>
          </w:p>
        </w:tc>
        <w:tc>
          <w:tcPr>
            <w:tcW w:w="0" w:type="auto"/>
            <w:vAlign w:val="center"/>
            <w:hideMark/>
          </w:tcPr>
          <w:p w14:paraId="495421B0" w14:textId="77777777" w:rsidR="00D87188" w:rsidRPr="00EF495B" w:rsidRDefault="00D87188" w:rsidP="00FD4382">
            <w:pPr>
              <w:spacing w:after="60" w:line="240" w:lineRule="auto"/>
            </w:pPr>
            <w:r w:rsidRPr="00EF495B">
              <w:t>May ask for BAFOs, answers to ENs, or revised pricing.</w:t>
            </w:r>
          </w:p>
        </w:tc>
        <w:tc>
          <w:tcPr>
            <w:tcW w:w="0" w:type="auto"/>
            <w:gridSpan w:val="2"/>
            <w:vAlign w:val="center"/>
            <w:hideMark/>
          </w:tcPr>
          <w:p w14:paraId="3B9D3D5F" w14:textId="77777777" w:rsidR="00D87188" w:rsidRPr="00EF495B" w:rsidRDefault="00D87188" w:rsidP="00FD4382">
            <w:pPr>
              <w:spacing w:after="60" w:line="240" w:lineRule="auto"/>
            </w:pPr>
            <w:r w:rsidRPr="00EF495B">
              <w:t>Prepare responses quickly, often under tight deadlines. Maintain a traceable logic from original submittal.</w:t>
            </w:r>
          </w:p>
        </w:tc>
      </w:tr>
      <w:tr w:rsidR="00D87188" w:rsidRPr="00EF495B" w14:paraId="278ACF14" w14:textId="77777777" w:rsidTr="00FD4382">
        <w:trPr>
          <w:tblCellSpacing w:w="15" w:type="dxa"/>
        </w:trPr>
        <w:tc>
          <w:tcPr>
            <w:tcW w:w="0" w:type="auto"/>
            <w:gridSpan w:val="2"/>
            <w:vAlign w:val="center"/>
            <w:hideMark/>
          </w:tcPr>
          <w:p w14:paraId="5F62E07F" w14:textId="77777777" w:rsidR="00D87188" w:rsidRPr="00EF495B" w:rsidRDefault="00D87188" w:rsidP="00FD4382">
            <w:pPr>
              <w:spacing w:after="60" w:line="240" w:lineRule="auto"/>
              <w:jc w:val="center"/>
            </w:pPr>
            <w:r w:rsidRPr="00EF495B">
              <w:rPr>
                <w:b/>
                <w:bCs/>
              </w:rPr>
              <w:t>Award and Debriefing</w:t>
            </w:r>
          </w:p>
        </w:tc>
        <w:tc>
          <w:tcPr>
            <w:tcW w:w="0" w:type="auto"/>
            <w:vAlign w:val="center"/>
            <w:hideMark/>
          </w:tcPr>
          <w:p w14:paraId="6F4B5754" w14:textId="77777777" w:rsidR="00D87188" w:rsidRPr="00EF495B" w:rsidRDefault="00D87188" w:rsidP="00FD4382">
            <w:pPr>
              <w:spacing w:after="60" w:line="240" w:lineRule="auto"/>
            </w:pPr>
            <w:r w:rsidRPr="00EF495B">
              <w:t>Agency notifies awardees, offers debriefs.</w:t>
            </w:r>
          </w:p>
        </w:tc>
        <w:tc>
          <w:tcPr>
            <w:tcW w:w="0" w:type="auto"/>
            <w:gridSpan w:val="2"/>
            <w:vAlign w:val="center"/>
            <w:hideMark/>
          </w:tcPr>
          <w:p w14:paraId="386220A3" w14:textId="77777777" w:rsidR="00D87188" w:rsidRPr="00EF495B" w:rsidRDefault="00D87188" w:rsidP="00FD4382">
            <w:pPr>
              <w:spacing w:after="60" w:line="240" w:lineRule="auto"/>
            </w:pPr>
            <w:r w:rsidRPr="00EF495B">
              <w:t>Analyze win/loss feedback; incorporate lessons learned into proposal library and templates.</w:t>
            </w:r>
          </w:p>
        </w:tc>
      </w:tr>
    </w:tbl>
    <w:p w14:paraId="1336FF25" w14:textId="77777777" w:rsidR="00D87188" w:rsidRPr="00EF495B" w:rsidRDefault="00D87188" w:rsidP="00D87188">
      <w:pPr>
        <w:spacing w:after="60" w:line="240" w:lineRule="auto"/>
      </w:pPr>
    </w:p>
    <w:p w14:paraId="3FE6EFDB" w14:textId="77777777" w:rsidR="00D87188" w:rsidRPr="00EF495B" w:rsidRDefault="00D87188" w:rsidP="00D87188">
      <w:pPr>
        <w:spacing w:after="60" w:line="240" w:lineRule="auto"/>
        <w:rPr>
          <w:b/>
          <w:bCs/>
        </w:rPr>
      </w:pPr>
      <w:r w:rsidRPr="00EF495B">
        <w:rPr>
          <w:b/>
          <w:bCs/>
        </w:rPr>
        <w:t>Core FAR Concepts Proposal Writers Must Understand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5"/>
        <w:gridCol w:w="6525"/>
      </w:tblGrid>
      <w:tr w:rsidR="00D87188" w:rsidRPr="00EF495B" w14:paraId="145282E8" w14:textId="77777777" w:rsidTr="00FD4382">
        <w:trPr>
          <w:tblHeader/>
          <w:tblCellSpacing w:w="15" w:type="dxa"/>
        </w:trPr>
        <w:tc>
          <w:tcPr>
            <w:tcW w:w="0" w:type="auto"/>
            <w:vAlign w:val="center"/>
            <w:hideMark/>
          </w:tcPr>
          <w:p w14:paraId="198C6DFE" w14:textId="77777777" w:rsidR="00D87188" w:rsidRPr="00EF495B" w:rsidRDefault="00D87188" w:rsidP="00FD4382">
            <w:pPr>
              <w:spacing w:after="60" w:line="240" w:lineRule="auto"/>
              <w:jc w:val="center"/>
              <w:rPr>
                <w:b/>
                <w:bCs/>
              </w:rPr>
            </w:pPr>
            <w:r w:rsidRPr="00EF495B">
              <w:rPr>
                <w:b/>
                <w:bCs/>
              </w:rPr>
              <w:t>FAR Concept</w:t>
            </w:r>
          </w:p>
        </w:tc>
        <w:tc>
          <w:tcPr>
            <w:tcW w:w="0" w:type="auto"/>
            <w:vAlign w:val="center"/>
            <w:hideMark/>
          </w:tcPr>
          <w:p w14:paraId="3B645D0D" w14:textId="77777777" w:rsidR="00D87188" w:rsidRPr="00EF495B" w:rsidRDefault="00D87188" w:rsidP="00FD4382">
            <w:pPr>
              <w:spacing w:after="60" w:line="240" w:lineRule="auto"/>
              <w:jc w:val="center"/>
              <w:rPr>
                <w:b/>
                <w:bCs/>
              </w:rPr>
            </w:pPr>
            <w:r w:rsidRPr="00EF495B">
              <w:rPr>
                <w:b/>
                <w:bCs/>
              </w:rPr>
              <w:t>Relevance to Proposal Writing</w:t>
            </w:r>
          </w:p>
        </w:tc>
      </w:tr>
      <w:tr w:rsidR="00D87188" w:rsidRPr="00EF495B" w14:paraId="1118A4ED" w14:textId="77777777" w:rsidTr="00FD4382">
        <w:trPr>
          <w:tblCellSpacing w:w="15" w:type="dxa"/>
        </w:trPr>
        <w:tc>
          <w:tcPr>
            <w:tcW w:w="0" w:type="auto"/>
            <w:vAlign w:val="center"/>
            <w:hideMark/>
          </w:tcPr>
          <w:p w14:paraId="3C74C730" w14:textId="77777777" w:rsidR="00D87188" w:rsidRPr="00EF495B" w:rsidRDefault="00D87188" w:rsidP="00FD4382">
            <w:pPr>
              <w:spacing w:after="60" w:line="240" w:lineRule="auto"/>
            </w:pPr>
            <w:r w:rsidRPr="00EF495B">
              <w:rPr>
                <w:b/>
                <w:bCs/>
              </w:rPr>
              <w:t>Section L &amp; M</w:t>
            </w:r>
          </w:p>
        </w:tc>
        <w:tc>
          <w:tcPr>
            <w:tcW w:w="0" w:type="auto"/>
            <w:vAlign w:val="center"/>
            <w:hideMark/>
          </w:tcPr>
          <w:p w14:paraId="670A4C29" w14:textId="77777777" w:rsidR="00D87188" w:rsidRPr="00EF495B" w:rsidRDefault="00D87188" w:rsidP="00FD4382">
            <w:pPr>
              <w:spacing w:after="60" w:line="240" w:lineRule="auto"/>
            </w:pPr>
            <w:r w:rsidRPr="00EF495B">
              <w:t xml:space="preserve">These define the instructions and evaluation criteria. Your proposal should be </w:t>
            </w:r>
            <w:r w:rsidRPr="00EF495B">
              <w:rPr>
                <w:i/>
                <w:iCs/>
              </w:rPr>
              <w:t>structured to follow them exactly.</w:t>
            </w:r>
          </w:p>
        </w:tc>
      </w:tr>
      <w:tr w:rsidR="00D87188" w:rsidRPr="00EF495B" w14:paraId="7E09BCEB" w14:textId="77777777" w:rsidTr="00FD4382">
        <w:trPr>
          <w:tblCellSpacing w:w="15" w:type="dxa"/>
        </w:trPr>
        <w:tc>
          <w:tcPr>
            <w:tcW w:w="0" w:type="auto"/>
            <w:vAlign w:val="center"/>
            <w:hideMark/>
          </w:tcPr>
          <w:p w14:paraId="797BDE61" w14:textId="77777777" w:rsidR="00D87188" w:rsidRPr="00EF495B" w:rsidRDefault="00D87188" w:rsidP="00FD4382">
            <w:pPr>
              <w:spacing w:after="60" w:line="240" w:lineRule="auto"/>
            </w:pPr>
            <w:r w:rsidRPr="00EF495B">
              <w:rPr>
                <w:b/>
                <w:bCs/>
              </w:rPr>
              <w:t>Best Value Tradeoff</w:t>
            </w:r>
          </w:p>
        </w:tc>
        <w:tc>
          <w:tcPr>
            <w:tcW w:w="0" w:type="auto"/>
            <w:vAlign w:val="center"/>
            <w:hideMark/>
          </w:tcPr>
          <w:p w14:paraId="200F179E" w14:textId="77777777" w:rsidR="00D87188" w:rsidRPr="00EF495B" w:rsidRDefault="00D87188" w:rsidP="00FD4382">
            <w:pPr>
              <w:spacing w:after="60" w:line="240" w:lineRule="auto"/>
            </w:pPr>
            <w:r w:rsidRPr="00EF495B">
              <w:t>Price is not the only factor; technical and management strengths can outweigh lower costs.</w:t>
            </w:r>
          </w:p>
        </w:tc>
      </w:tr>
      <w:tr w:rsidR="00D87188" w:rsidRPr="00EF495B" w14:paraId="6EF149D0" w14:textId="77777777" w:rsidTr="00FD4382">
        <w:trPr>
          <w:tblCellSpacing w:w="15" w:type="dxa"/>
        </w:trPr>
        <w:tc>
          <w:tcPr>
            <w:tcW w:w="0" w:type="auto"/>
            <w:vAlign w:val="center"/>
            <w:hideMark/>
          </w:tcPr>
          <w:p w14:paraId="56A1903C" w14:textId="77777777" w:rsidR="00D87188" w:rsidRPr="00EF495B" w:rsidRDefault="00D87188" w:rsidP="00FD4382">
            <w:pPr>
              <w:spacing w:after="60" w:line="240" w:lineRule="auto"/>
            </w:pPr>
            <w:r w:rsidRPr="00EF495B">
              <w:rPr>
                <w:b/>
                <w:bCs/>
              </w:rPr>
              <w:t>Lowest Price Technically Acceptable (LPTA)</w:t>
            </w:r>
          </w:p>
        </w:tc>
        <w:tc>
          <w:tcPr>
            <w:tcW w:w="0" w:type="auto"/>
            <w:vAlign w:val="center"/>
            <w:hideMark/>
          </w:tcPr>
          <w:p w14:paraId="0F273A39" w14:textId="77777777" w:rsidR="00D87188" w:rsidRPr="00EF495B" w:rsidRDefault="00D87188" w:rsidP="00FD4382">
            <w:pPr>
              <w:spacing w:after="60" w:line="240" w:lineRule="auto"/>
            </w:pPr>
            <w:proofErr w:type="gramStart"/>
            <w:r w:rsidRPr="00EF495B">
              <w:t>Proposal</w:t>
            </w:r>
            <w:proofErr w:type="gramEnd"/>
            <w:r w:rsidRPr="00EF495B">
              <w:t xml:space="preserve"> must meet every technical </w:t>
            </w:r>
            <w:proofErr w:type="gramStart"/>
            <w:r w:rsidRPr="00EF495B">
              <w:t>requirement;</w:t>
            </w:r>
            <w:proofErr w:type="gramEnd"/>
            <w:r w:rsidRPr="00EF495B">
              <w:t xml:space="preserve"> no extra credit for innovation. Keep it lean, compliant, and cost-efficient.</w:t>
            </w:r>
          </w:p>
        </w:tc>
      </w:tr>
      <w:tr w:rsidR="00D87188" w:rsidRPr="00EF495B" w14:paraId="39F1C328" w14:textId="77777777" w:rsidTr="00FD4382">
        <w:trPr>
          <w:tblCellSpacing w:w="15" w:type="dxa"/>
        </w:trPr>
        <w:tc>
          <w:tcPr>
            <w:tcW w:w="0" w:type="auto"/>
            <w:vAlign w:val="center"/>
            <w:hideMark/>
          </w:tcPr>
          <w:p w14:paraId="39A997BD" w14:textId="77777777" w:rsidR="00D87188" w:rsidRPr="00EF495B" w:rsidRDefault="00D87188" w:rsidP="00FD4382">
            <w:pPr>
              <w:spacing w:after="60" w:line="240" w:lineRule="auto"/>
            </w:pPr>
            <w:r w:rsidRPr="00EF495B">
              <w:rPr>
                <w:b/>
                <w:bCs/>
              </w:rPr>
              <w:t>Set-Asides and Socioeconomic Programs</w:t>
            </w:r>
          </w:p>
        </w:tc>
        <w:tc>
          <w:tcPr>
            <w:tcW w:w="0" w:type="auto"/>
            <w:vAlign w:val="center"/>
            <w:hideMark/>
          </w:tcPr>
          <w:p w14:paraId="3A2F0C25" w14:textId="77777777" w:rsidR="00D87188" w:rsidRPr="00EF495B" w:rsidRDefault="00D87188" w:rsidP="00FD4382">
            <w:pPr>
              <w:spacing w:after="60" w:line="240" w:lineRule="auto"/>
            </w:pPr>
            <w:r w:rsidRPr="00EF495B">
              <w:t>Tailor your proposal narrative to match the priorities of small business programs (8(a), SDVOSB, WOSB, HUBZone, etc.).</w:t>
            </w:r>
          </w:p>
        </w:tc>
      </w:tr>
      <w:tr w:rsidR="00D87188" w:rsidRPr="00EF495B" w14:paraId="57B21713" w14:textId="77777777" w:rsidTr="00FD4382">
        <w:trPr>
          <w:tblCellSpacing w:w="15" w:type="dxa"/>
        </w:trPr>
        <w:tc>
          <w:tcPr>
            <w:tcW w:w="0" w:type="auto"/>
            <w:vAlign w:val="center"/>
            <w:hideMark/>
          </w:tcPr>
          <w:p w14:paraId="0AD89599" w14:textId="77777777" w:rsidR="00D87188" w:rsidRPr="00EF495B" w:rsidRDefault="00D87188" w:rsidP="00FD4382">
            <w:pPr>
              <w:spacing w:after="60" w:line="240" w:lineRule="auto"/>
            </w:pPr>
            <w:r w:rsidRPr="00EF495B">
              <w:rPr>
                <w:b/>
                <w:bCs/>
              </w:rPr>
              <w:t xml:space="preserve">Types of </w:t>
            </w:r>
            <w:r w:rsidRPr="00EF495B">
              <w:t>Contracts (FFP, T&amp;M, CPFF)</w:t>
            </w:r>
          </w:p>
        </w:tc>
        <w:tc>
          <w:tcPr>
            <w:tcW w:w="0" w:type="auto"/>
            <w:vAlign w:val="center"/>
            <w:hideMark/>
          </w:tcPr>
          <w:p w14:paraId="31EFCDAC" w14:textId="77777777" w:rsidR="00D87188" w:rsidRPr="00EF495B" w:rsidRDefault="00D87188" w:rsidP="00FD4382">
            <w:pPr>
              <w:spacing w:after="60" w:line="240" w:lineRule="auto"/>
            </w:pPr>
            <w:r w:rsidRPr="00EF495B">
              <w:t>Affects risk profile and pricing strategy. The technical volume should reflect understanding of how performance will be managed.</w:t>
            </w:r>
          </w:p>
        </w:tc>
      </w:tr>
    </w:tbl>
    <w:p w14:paraId="662C1AB4" w14:textId="77777777" w:rsidR="00D87188" w:rsidRDefault="00D87188" w:rsidP="00D87188">
      <w:pPr>
        <w:pStyle w:val="Heading2"/>
        <w:spacing w:before="0" w:after="60"/>
        <w:rPr>
          <w:rFonts w:asciiTheme="minorHAnsi" w:hAnsiTheme="minorHAnsi"/>
        </w:rPr>
      </w:pPr>
    </w:p>
    <w:p w14:paraId="1675B3D7" w14:textId="77777777" w:rsidR="0043649C" w:rsidRPr="0043649C" w:rsidRDefault="0043649C" w:rsidP="0043649C">
      <w:pPr>
        <w:pStyle w:val="WinTech"/>
      </w:pPr>
    </w:p>
    <w:sectPr w:rsidR="0043649C" w:rsidRPr="0043649C" w:rsidSect="00C223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E952" w14:textId="77777777" w:rsidR="00D87188" w:rsidRDefault="00D87188" w:rsidP="00C223A7">
      <w:r>
        <w:separator/>
      </w:r>
    </w:p>
  </w:endnote>
  <w:endnote w:type="continuationSeparator" w:id="0">
    <w:p w14:paraId="16A15AF0" w14:textId="77777777" w:rsidR="00D87188" w:rsidRDefault="00D87188" w:rsidP="00C2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B9052" w14:textId="77777777" w:rsidR="00D87188" w:rsidRDefault="00D87188" w:rsidP="00C223A7">
      <w:r>
        <w:separator/>
      </w:r>
    </w:p>
  </w:footnote>
  <w:footnote w:type="continuationSeparator" w:id="0">
    <w:p w14:paraId="21D41FB4" w14:textId="77777777" w:rsidR="00D87188" w:rsidRDefault="00D87188" w:rsidP="00C2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0D87" w14:textId="77777777" w:rsidR="00C223A7" w:rsidRDefault="00C223A7">
    <w:pPr>
      <w:pStyle w:val="Header"/>
    </w:pPr>
    <w:r>
      <w:rPr>
        <w:noProof/>
      </w:rPr>
      <w:drawing>
        <wp:anchor distT="0" distB="0" distL="114300" distR="114300" simplePos="0" relativeHeight="251659264" behindDoc="1" locked="0" layoutInCell="1" allowOverlap="1" wp14:anchorId="0302EF0C" wp14:editId="22995B14">
          <wp:simplePos x="0" y="0"/>
          <wp:positionH relativeFrom="column">
            <wp:posOffset>4564800</wp:posOffset>
          </wp:positionH>
          <wp:positionV relativeFrom="paragraph">
            <wp:posOffset>-871280</wp:posOffset>
          </wp:positionV>
          <wp:extent cx="1487840" cy="1371600"/>
          <wp:effectExtent l="0" t="0" r="0" b="0"/>
          <wp:wrapTight wrapText="bothSides">
            <wp:wrapPolygon edited="0">
              <wp:start x="1291" y="10200"/>
              <wp:lineTo x="1475" y="14800"/>
              <wp:lineTo x="1659" y="18000"/>
              <wp:lineTo x="14013" y="18400"/>
              <wp:lineTo x="15488" y="18400"/>
              <wp:lineTo x="18991" y="18000"/>
              <wp:lineTo x="20282" y="17800"/>
              <wp:lineTo x="19913" y="12400"/>
              <wp:lineTo x="18807" y="12000"/>
              <wp:lineTo x="6269" y="10200"/>
              <wp:lineTo x="1291" y="10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ch Logo 2018v3.png"/>
                  <pic:cNvPicPr/>
                </pic:nvPicPr>
                <pic:blipFill>
                  <a:blip r:embed="rId1">
                    <a:extLst>
                      <a:ext uri="{28A0092B-C50C-407E-A947-70E740481C1C}">
                        <a14:useLocalDpi xmlns:a14="http://schemas.microsoft.com/office/drawing/2010/main" val="0"/>
                      </a:ext>
                    </a:extLst>
                  </a:blip>
                  <a:stretch>
                    <a:fillRect/>
                  </a:stretch>
                </pic:blipFill>
                <pic:spPr>
                  <a:xfrm>
                    <a:off x="0" y="0"/>
                    <a:ext cx="148784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DA1NDEwMjIxszBT0lEKTi0uzszPAykwqgUAfwu54SwAAAA="/>
  </w:docVars>
  <w:rsids>
    <w:rsidRoot w:val="00D87188"/>
    <w:rsid w:val="00042B48"/>
    <w:rsid w:val="0014485E"/>
    <w:rsid w:val="001A1A03"/>
    <w:rsid w:val="002002F9"/>
    <w:rsid w:val="003606F2"/>
    <w:rsid w:val="00431B1A"/>
    <w:rsid w:val="0043649C"/>
    <w:rsid w:val="004F01AB"/>
    <w:rsid w:val="00703BFC"/>
    <w:rsid w:val="0073244D"/>
    <w:rsid w:val="00761310"/>
    <w:rsid w:val="007B235B"/>
    <w:rsid w:val="007D7BBA"/>
    <w:rsid w:val="007F1D61"/>
    <w:rsid w:val="00822669"/>
    <w:rsid w:val="008A3973"/>
    <w:rsid w:val="00904959"/>
    <w:rsid w:val="0091684B"/>
    <w:rsid w:val="00975F6A"/>
    <w:rsid w:val="009B6CFF"/>
    <w:rsid w:val="00A06D12"/>
    <w:rsid w:val="00B54EFE"/>
    <w:rsid w:val="00C223A7"/>
    <w:rsid w:val="00C43269"/>
    <w:rsid w:val="00C96084"/>
    <w:rsid w:val="00CA5889"/>
    <w:rsid w:val="00D40423"/>
    <w:rsid w:val="00D87188"/>
    <w:rsid w:val="00DB0412"/>
    <w:rsid w:val="00E61C56"/>
    <w:rsid w:val="00E7084A"/>
    <w:rsid w:val="00EB4EEB"/>
    <w:rsid w:val="00EC7A29"/>
    <w:rsid w:val="00F1488E"/>
    <w:rsid w:val="00F26650"/>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2BE0"/>
  <w15:chartTrackingRefBased/>
  <w15:docId w15:val="{448AC099-D848-4BBA-AC50-1B335277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88"/>
    <w:pPr>
      <w:spacing w:after="160" w:line="278" w:lineRule="auto"/>
    </w:pPr>
    <w:rPr>
      <w:kern w:val="2"/>
      <w14:ligatures w14:val="standardContextual"/>
    </w:rPr>
  </w:style>
  <w:style w:type="paragraph" w:styleId="Heading1">
    <w:name w:val="heading 1"/>
    <w:basedOn w:val="Normal"/>
    <w:next w:val="Normal"/>
    <w:link w:val="Heading1Char"/>
    <w:autoRedefine/>
    <w:uiPriority w:val="9"/>
    <w:qFormat/>
    <w:rsid w:val="0043649C"/>
    <w:pPr>
      <w:keepNext/>
      <w:keepLines/>
      <w:spacing w:before="240" w:after="0" w:line="240" w:lineRule="auto"/>
      <w:outlineLvl w:val="0"/>
    </w:pPr>
    <w:rPr>
      <w:rFonts w:ascii="Verdana" w:eastAsiaTheme="majorEastAsia" w:hAnsi="Verdana" w:cstheme="majorBidi"/>
      <w:b/>
      <w:color w:val="293E71"/>
      <w:kern w:val="0"/>
      <w:sz w:val="32"/>
      <w:szCs w:val="32"/>
      <w14:ligatures w14:val="none"/>
    </w:rPr>
  </w:style>
  <w:style w:type="paragraph" w:styleId="Heading2">
    <w:name w:val="heading 2"/>
    <w:basedOn w:val="Normal"/>
    <w:next w:val="Normal"/>
    <w:link w:val="Heading2Char"/>
    <w:uiPriority w:val="9"/>
    <w:unhideWhenUsed/>
    <w:qFormat/>
    <w:rsid w:val="0043649C"/>
    <w:pPr>
      <w:keepNext/>
      <w:keepLines/>
      <w:spacing w:before="40" w:after="0" w:line="240" w:lineRule="auto"/>
      <w:outlineLvl w:val="1"/>
    </w:pPr>
    <w:rPr>
      <w:rFonts w:ascii="Verdana" w:eastAsiaTheme="majorEastAsia" w:hAnsi="Verdana" w:cstheme="majorBidi"/>
      <w:b/>
      <w:color w:val="293E71"/>
      <w:kern w:val="0"/>
      <w:sz w:val="28"/>
      <w:szCs w:val="26"/>
      <w14:ligatures w14:val="none"/>
    </w:rPr>
  </w:style>
  <w:style w:type="paragraph" w:styleId="Heading3">
    <w:name w:val="heading 3"/>
    <w:basedOn w:val="Normal"/>
    <w:next w:val="Normal"/>
    <w:link w:val="Heading3Char"/>
    <w:autoRedefine/>
    <w:uiPriority w:val="9"/>
    <w:unhideWhenUsed/>
    <w:qFormat/>
    <w:rsid w:val="0043649C"/>
    <w:pPr>
      <w:keepNext/>
      <w:keepLines/>
      <w:spacing w:before="40" w:after="0" w:line="240" w:lineRule="auto"/>
      <w:outlineLvl w:val="2"/>
    </w:pPr>
    <w:rPr>
      <w:rFonts w:ascii="Verdana" w:eastAsiaTheme="majorEastAsia" w:hAnsi="Verdana" w:cstheme="majorBidi"/>
      <w:b/>
      <w:color w:val="1F3763" w:themeColor="accent1" w:themeShade="7F"/>
      <w:kern w:val="0"/>
      <w:sz w:val="26"/>
      <w14:ligatures w14:val="none"/>
    </w:rPr>
  </w:style>
  <w:style w:type="paragraph" w:styleId="Heading4">
    <w:name w:val="heading 4"/>
    <w:basedOn w:val="Normal"/>
    <w:next w:val="Normal"/>
    <w:link w:val="Heading4Char"/>
    <w:uiPriority w:val="9"/>
    <w:unhideWhenUsed/>
    <w:qFormat/>
    <w:rsid w:val="0043649C"/>
    <w:pPr>
      <w:keepNext/>
      <w:keepLines/>
      <w:spacing w:before="40" w:after="0" w:line="240" w:lineRule="auto"/>
      <w:outlineLvl w:val="3"/>
    </w:pPr>
    <w:rPr>
      <w:rFonts w:ascii="Verdana" w:eastAsiaTheme="majorEastAsia" w:hAnsi="Verdana" w:cstheme="majorBidi"/>
      <w:b/>
      <w:iCs/>
      <w:color w:val="2F5496" w:themeColor="accent1" w:themeShade="BF"/>
      <w:kern w:val="0"/>
      <w14:ligatures w14:val="none"/>
    </w:rPr>
  </w:style>
  <w:style w:type="paragraph" w:styleId="Heading5">
    <w:name w:val="heading 5"/>
    <w:basedOn w:val="Normal"/>
    <w:next w:val="Normal"/>
    <w:link w:val="Heading5Char"/>
    <w:uiPriority w:val="9"/>
    <w:unhideWhenUsed/>
    <w:qFormat/>
    <w:rsid w:val="0043649C"/>
    <w:pPr>
      <w:keepNext/>
      <w:keepLines/>
      <w:spacing w:before="40" w:after="0" w:line="240" w:lineRule="auto"/>
      <w:outlineLvl w:val="4"/>
    </w:pPr>
    <w:rPr>
      <w:rFonts w:asciiTheme="majorHAnsi" w:eastAsiaTheme="majorEastAsia" w:hAnsiTheme="majorHAnsi" w:cstheme="majorBidi"/>
      <w:color w:val="293E7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9C"/>
    <w:rPr>
      <w:rFonts w:ascii="Verdana" w:eastAsiaTheme="majorEastAsia" w:hAnsi="Verdana" w:cstheme="majorBidi"/>
      <w:b/>
      <w:color w:val="293E71"/>
      <w:sz w:val="32"/>
      <w:szCs w:val="32"/>
    </w:rPr>
  </w:style>
  <w:style w:type="character" w:customStyle="1" w:styleId="Heading3Char">
    <w:name w:val="Heading 3 Char"/>
    <w:basedOn w:val="DefaultParagraphFont"/>
    <w:link w:val="Heading3"/>
    <w:uiPriority w:val="9"/>
    <w:rsid w:val="0043649C"/>
    <w:rPr>
      <w:rFonts w:ascii="Verdana" w:eastAsiaTheme="majorEastAsia" w:hAnsi="Verdana" w:cstheme="majorBidi"/>
      <w:b/>
      <w:color w:val="1F3763" w:themeColor="accent1" w:themeShade="7F"/>
      <w:sz w:val="26"/>
    </w:rPr>
  </w:style>
  <w:style w:type="paragraph" w:customStyle="1" w:styleId="Style1">
    <w:name w:val="Style1"/>
    <w:basedOn w:val="Normal"/>
    <w:autoRedefine/>
    <w:qFormat/>
    <w:rsid w:val="00E7084A"/>
    <w:pPr>
      <w:widowControl w:val="0"/>
      <w:spacing w:after="0" w:line="240" w:lineRule="auto"/>
    </w:pPr>
    <w:rPr>
      <w:rFonts w:ascii="Arial" w:eastAsia="Batang" w:hAnsi="Arial" w:cs="Times New Roman"/>
      <w:kern w:val="0"/>
      <w:szCs w:val="20"/>
      <w14:ligatures w14:val="none"/>
    </w:rPr>
  </w:style>
  <w:style w:type="paragraph" w:customStyle="1" w:styleId="WinTech">
    <w:name w:val="WinTech"/>
    <w:basedOn w:val="Normal"/>
    <w:autoRedefine/>
    <w:qFormat/>
    <w:rsid w:val="00761310"/>
    <w:pPr>
      <w:spacing w:after="0" w:line="240" w:lineRule="auto"/>
    </w:pPr>
    <w:rPr>
      <w:rFonts w:ascii="Arial Narrow" w:hAnsi="Arial Narrow"/>
      <w:kern w:val="0"/>
      <w14:ligatures w14:val="none"/>
    </w:rPr>
  </w:style>
  <w:style w:type="paragraph" w:customStyle="1" w:styleId="Style2">
    <w:name w:val="Style2"/>
    <w:basedOn w:val="Normal"/>
    <w:qFormat/>
    <w:rsid w:val="007F1D61"/>
    <w:pPr>
      <w:suppressAutoHyphens/>
      <w:spacing w:before="40" w:after="40" w:line="240" w:lineRule="auto"/>
      <w:jc w:val="center"/>
    </w:pPr>
    <w:rPr>
      <w:rFonts w:ascii="Arial" w:eastAsia="Times New Roman" w:hAnsi="Arial" w:cs="Arial"/>
      <w:b/>
      <w:color w:val="FFFFFF" w:themeColor="background1"/>
      <w:kern w:val="0"/>
      <w:sz w:val="16"/>
      <w:szCs w:val="20"/>
      <w14:ligatures w14:val="none"/>
    </w:rPr>
  </w:style>
  <w:style w:type="paragraph" w:styleId="BalloonText">
    <w:name w:val="Balloon Text"/>
    <w:basedOn w:val="Normal"/>
    <w:link w:val="BalloonTextChar"/>
    <w:uiPriority w:val="99"/>
    <w:semiHidden/>
    <w:unhideWhenUsed/>
    <w:rsid w:val="00C223A7"/>
    <w:rPr>
      <w:rFonts w:cs="Times New Roman"/>
      <w:sz w:val="18"/>
      <w:szCs w:val="18"/>
    </w:rPr>
  </w:style>
  <w:style w:type="character" w:customStyle="1" w:styleId="BalloonTextChar">
    <w:name w:val="Balloon Text Char"/>
    <w:basedOn w:val="DefaultParagraphFont"/>
    <w:link w:val="BalloonText"/>
    <w:uiPriority w:val="99"/>
    <w:semiHidden/>
    <w:rsid w:val="00C223A7"/>
    <w:rPr>
      <w:rFonts w:ascii="Times New Roman" w:hAnsi="Times New Roman" w:cs="Times New Roman"/>
      <w:sz w:val="18"/>
      <w:szCs w:val="18"/>
    </w:rPr>
  </w:style>
  <w:style w:type="paragraph" w:styleId="Header">
    <w:name w:val="header"/>
    <w:basedOn w:val="Normal"/>
    <w:link w:val="HeaderChar"/>
    <w:uiPriority w:val="99"/>
    <w:unhideWhenUsed/>
    <w:rsid w:val="00C223A7"/>
    <w:pPr>
      <w:tabs>
        <w:tab w:val="center" w:pos="4680"/>
        <w:tab w:val="right" w:pos="9360"/>
      </w:tabs>
      <w:spacing w:after="0" w:line="240" w:lineRule="auto"/>
    </w:pPr>
    <w:rPr>
      <w:rFonts w:ascii="Arial" w:hAnsi="Arial"/>
      <w:kern w:val="0"/>
      <w14:ligatures w14:val="none"/>
    </w:rPr>
  </w:style>
  <w:style w:type="character" w:customStyle="1" w:styleId="HeaderChar">
    <w:name w:val="Header Char"/>
    <w:basedOn w:val="DefaultParagraphFont"/>
    <w:link w:val="Header"/>
    <w:uiPriority w:val="99"/>
    <w:rsid w:val="00C223A7"/>
    <w:rPr>
      <w:rFonts w:ascii="Times New Roman" w:hAnsi="Times New Roman"/>
    </w:rPr>
  </w:style>
  <w:style w:type="paragraph" w:styleId="Footer">
    <w:name w:val="footer"/>
    <w:basedOn w:val="Normal"/>
    <w:link w:val="FooterChar"/>
    <w:uiPriority w:val="99"/>
    <w:unhideWhenUsed/>
    <w:rsid w:val="00C223A7"/>
    <w:pPr>
      <w:tabs>
        <w:tab w:val="center" w:pos="4680"/>
        <w:tab w:val="right" w:pos="9360"/>
      </w:tabs>
      <w:spacing w:after="0" w:line="240" w:lineRule="auto"/>
    </w:pPr>
    <w:rPr>
      <w:rFonts w:ascii="Arial" w:hAnsi="Arial"/>
      <w:kern w:val="0"/>
      <w14:ligatures w14:val="none"/>
    </w:rPr>
  </w:style>
  <w:style w:type="character" w:customStyle="1" w:styleId="FooterChar">
    <w:name w:val="Footer Char"/>
    <w:basedOn w:val="DefaultParagraphFont"/>
    <w:link w:val="Footer"/>
    <w:uiPriority w:val="99"/>
    <w:rsid w:val="00C223A7"/>
    <w:rPr>
      <w:rFonts w:ascii="Times New Roman" w:hAnsi="Times New Roman"/>
    </w:rPr>
  </w:style>
  <w:style w:type="character" w:customStyle="1" w:styleId="Heading2Char">
    <w:name w:val="Heading 2 Char"/>
    <w:basedOn w:val="DefaultParagraphFont"/>
    <w:link w:val="Heading2"/>
    <w:uiPriority w:val="9"/>
    <w:rsid w:val="0043649C"/>
    <w:rPr>
      <w:rFonts w:ascii="Verdana" w:eastAsiaTheme="majorEastAsia" w:hAnsi="Verdana" w:cstheme="majorBidi"/>
      <w:b/>
      <w:color w:val="293E71"/>
      <w:sz w:val="28"/>
      <w:szCs w:val="26"/>
    </w:rPr>
  </w:style>
  <w:style w:type="character" w:customStyle="1" w:styleId="Heading4Char">
    <w:name w:val="Heading 4 Char"/>
    <w:basedOn w:val="DefaultParagraphFont"/>
    <w:link w:val="Heading4"/>
    <w:uiPriority w:val="9"/>
    <w:rsid w:val="0043649C"/>
    <w:rPr>
      <w:rFonts w:ascii="Verdana" w:eastAsiaTheme="majorEastAsia" w:hAnsi="Verdana" w:cstheme="majorBidi"/>
      <w:b/>
      <w:iCs/>
      <w:color w:val="2F5496" w:themeColor="accent1" w:themeShade="BF"/>
    </w:rPr>
  </w:style>
  <w:style w:type="character" w:customStyle="1" w:styleId="Heading5Char">
    <w:name w:val="Heading 5 Char"/>
    <w:basedOn w:val="DefaultParagraphFont"/>
    <w:link w:val="Heading5"/>
    <w:uiPriority w:val="9"/>
    <w:rsid w:val="0043649C"/>
    <w:rPr>
      <w:rFonts w:asciiTheme="majorHAnsi" w:eastAsiaTheme="majorEastAsia" w:hAnsiTheme="majorHAnsi" w:cstheme="majorBidi"/>
      <w:color w:val="293E71"/>
    </w:rPr>
  </w:style>
  <w:style w:type="paragraph" w:styleId="Title">
    <w:name w:val="Title"/>
    <w:basedOn w:val="Normal"/>
    <w:next w:val="Normal"/>
    <w:link w:val="TitleChar"/>
    <w:uiPriority w:val="10"/>
    <w:qFormat/>
    <w:rsid w:val="0043649C"/>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4364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ice%20Hill\Dropbox\WinTech%20Internal%20Business%20Files\WinTech%20Templates%20&amp;%20Logos\New%20WinTech%20New%202018%20Logo\WinTec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WinTech LetterHead</Template>
  <TotalTime>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Winston Technologies LLC.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Hill</dc:creator>
  <cp:keywords/>
  <dc:description/>
  <cp:lastModifiedBy>Maurice Hill</cp:lastModifiedBy>
  <cp:revision>1</cp:revision>
  <dcterms:created xsi:type="dcterms:W3CDTF">2025-05-28T20:08:00Z</dcterms:created>
  <dcterms:modified xsi:type="dcterms:W3CDTF">2025-05-28T20:10:00Z</dcterms:modified>
</cp:coreProperties>
</file>