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89B2" w14:textId="77777777" w:rsidR="00362BCD" w:rsidRPr="000D0ED1" w:rsidRDefault="00362BCD" w:rsidP="000A5C65">
      <w:pPr>
        <w:pStyle w:val="Heading1"/>
        <w:spacing w:before="0"/>
        <w:rPr>
          <w:rFonts w:asciiTheme="minorHAnsi" w:hAnsiTheme="minorHAnsi" w:cstheme="minorHAnsi"/>
          <w:color w:val="auto"/>
        </w:rPr>
      </w:pPr>
      <w:r w:rsidRPr="000D0ED1">
        <w:rPr>
          <w:rFonts w:asciiTheme="minorHAnsi" w:hAnsiTheme="minorHAnsi" w:cstheme="minorHAnsi"/>
          <w:color w:val="auto"/>
        </w:rPr>
        <w:t>Analysis of GSA’s May 28th Virtual Meeting on Procurement Consolidation and Revolutionary FAR Overhaul</w:t>
      </w:r>
    </w:p>
    <w:p w14:paraId="461661FB" w14:textId="77777777" w:rsidR="00362BCD" w:rsidRPr="000D0ED1" w:rsidRDefault="00362BCD" w:rsidP="000A5C65">
      <w:pPr>
        <w:pStyle w:val="Heading2"/>
        <w:spacing w:before="0"/>
        <w:rPr>
          <w:rFonts w:asciiTheme="minorHAnsi" w:hAnsiTheme="minorHAnsi" w:cstheme="minorHAnsi"/>
          <w:color w:val="auto"/>
        </w:rPr>
      </w:pPr>
      <w:r w:rsidRPr="000D0ED1">
        <w:rPr>
          <w:rFonts w:asciiTheme="minorHAnsi" w:hAnsiTheme="minorHAnsi" w:cstheme="minorHAnsi"/>
          <w:color w:val="auto"/>
        </w:rPr>
        <w:t>Executive Summary</w:t>
      </w:r>
    </w:p>
    <w:p w14:paraId="63B9BEBC"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color w:val="auto"/>
        </w:rPr>
        <w:t>On May 28th, the General Services Administration (GSA) held a virtual meeting with industry stakeholders to outline two transformative initiatives: procurement contract consolidation and the Revolutionary FAR Overhaul (RFO). The meeting highlighted the agency’s drive to streamline federal acquisition, improve efficiency, and foster greater industry engagement. Below is a detailed analysis of the meeting’s key points, implications, and actionable insights for industry participants.</w:t>
      </w:r>
    </w:p>
    <w:p w14:paraId="67D7295B" w14:textId="6870284E" w:rsidR="00362BCD" w:rsidRPr="00362BCD" w:rsidRDefault="00362BCD" w:rsidP="000A5C65">
      <w:pPr>
        <w:pStyle w:val="Heading5"/>
        <w:spacing w:before="0"/>
        <w:rPr>
          <w:rFonts w:asciiTheme="minorHAnsi" w:hAnsiTheme="minorHAnsi" w:cstheme="minorHAnsi"/>
          <w:color w:val="auto"/>
        </w:rPr>
      </w:pPr>
    </w:p>
    <w:p w14:paraId="445A79F3" w14:textId="77777777" w:rsidR="00362BCD" w:rsidRPr="00362BCD" w:rsidRDefault="00362BCD" w:rsidP="000A5C65">
      <w:pPr>
        <w:pStyle w:val="Heading5"/>
        <w:spacing w:before="0"/>
        <w:rPr>
          <w:rFonts w:asciiTheme="minorHAnsi" w:hAnsiTheme="minorHAnsi" w:cstheme="minorHAnsi"/>
          <w:b/>
          <w:bCs/>
          <w:color w:val="auto"/>
        </w:rPr>
      </w:pPr>
      <w:r w:rsidRPr="00362BCD">
        <w:rPr>
          <w:rFonts w:asciiTheme="minorHAnsi" w:hAnsiTheme="minorHAnsi" w:cstheme="minorHAnsi"/>
          <w:b/>
          <w:bCs/>
          <w:color w:val="auto"/>
        </w:rPr>
        <w:t>1. GSA’s Strategic Direction</w:t>
      </w:r>
    </w:p>
    <w:p w14:paraId="5E053CB6"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Key Messages from Leadership:</w:t>
      </w:r>
    </w:p>
    <w:p w14:paraId="09F6FF5E" w14:textId="77777777" w:rsidR="00362BCD" w:rsidRPr="00362BCD" w:rsidRDefault="00362BCD" w:rsidP="000A5C65">
      <w:pPr>
        <w:pStyle w:val="Heading5"/>
        <w:numPr>
          <w:ilvl w:val="0"/>
          <w:numId w:val="1"/>
        </w:numPr>
        <w:spacing w:before="0"/>
        <w:rPr>
          <w:rFonts w:asciiTheme="minorHAnsi" w:hAnsiTheme="minorHAnsi" w:cstheme="minorHAnsi"/>
          <w:color w:val="auto"/>
        </w:rPr>
      </w:pPr>
      <w:r w:rsidRPr="00362BCD">
        <w:rPr>
          <w:rFonts w:asciiTheme="minorHAnsi" w:hAnsiTheme="minorHAnsi" w:cstheme="minorHAnsi"/>
          <w:b/>
          <w:bCs/>
          <w:color w:val="auto"/>
        </w:rPr>
        <w:t>Mission Focus:</w:t>
      </w:r>
      <w:r w:rsidRPr="00362BCD">
        <w:rPr>
          <w:rFonts w:asciiTheme="minorHAnsi" w:hAnsiTheme="minorHAnsi" w:cstheme="minorHAnsi"/>
          <w:color w:val="auto"/>
        </w:rPr>
        <w:t xml:space="preserve"> GSA aims to return to its core mission—streamlining government procurement with a unified, efficient process.</w:t>
      </w:r>
    </w:p>
    <w:p w14:paraId="63AF662E" w14:textId="77777777" w:rsidR="00362BCD" w:rsidRPr="00362BCD" w:rsidRDefault="00362BCD" w:rsidP="000A5C65">
      <w:pPr>
        <w:pStyle w:val="Heading5"/>
        <w:numPr>
          <w:ilvl w:val="0"/>
          <w:numId w:val="1"/>
        </w:numPr>
        <w:spacing w:before="0"/>
        <w:rPr>
          <w:rFonts w:asciiTheme="minorHAnsi" w:hAnsiTheme="minorHAnsi" w:cstheme="minorHAnsi"/>
          <w:color w:val="auto"/>
        </w:rPr>
      </w:pPr>
      <w:r w:rsidRPr="00362BCD">
        <w:rPr>
          <w:rFonts w:asciiTheme="minorHAnsi" w:hAnsiTheme="minorHAnsi" w:cstheme="minorHAnsi"/>
          <w:b/>
          <w:bCs/>
          <w:color w:val="auto"/>
        </w:rPr>
        <w:t>Priorities:</w:t>
      </w:r>
      <w:r w:rsidRPr="00362BCD">
        <w:rPr>
          <w:rFonts w:asciiTheme="minorHAnsi" w:hAnsiTheme="minorHAnsi" w:cstheme="minorHAnsi"/>
          <w:color w:val="auto"/>
        </w:rPr>
        <w:t xml:space="preserve"> Emphasis on best pricing, performance, innovation, and making federal contracting more accessible and attractive to industry partners.</w:t>
      </w:r>
    </w:p>
    <w:p w14:paraId="5AEFD2EB" w14:textId="77777777" w:rsidR="00362BCD" w:rsidRPr="00362BCD" w:rsidRDefault="00362BCD" w:rsidP="000A5C65">
      <w:pPr>
        <w:pStyle w:val="Heading5"/>
        <w:numPr>
          <w:ilvl w:val="0"/>
          <w:numId w:val="1"/>
        </w:numPr>
        <w:spacing w:before="0"/>
        <w:rPr>
          <w:rFonts w:asciiTheme="minorHAnsi" w:hAnsiTheme="minorHAnsi" w:cstheme="minorHAnsi"/>
          <w:color w:val="auto"/>
        </w:rPr>
      </w:pPr>
      <w:r w:rsidRPr="00362BCD">
        <w:rPr>
          <w:rFonts w:asciiTheme="minorHAnsi" w:hAnsiTheme="minorHAnsi" w:cstheme="minorHAnsi"/>
          <w:b/>
          <w:bCs/>
          <w:color w:val="auto"/>
        </w:rPr>
        <w:t>Industry Engagement:</w:t>
      </w:r>
      <w:r w:rsidRPr="00362BCD">
        <w:rPr>
          <w:rFonts w:asciiTheme="minorHAnsi" w:hAnsiTheme="minorHAnsi" w:cstheme="minorHAnsi"/>
          <w:color w:val="auto"/>
        </w:rPr>
        <w:t xml:space="preserve"> Agency leaders repeatedly </w:t>
      </w:r>
      <w:proofErr w:type="gramStart"/>
      <w:r w:rsidRPr="00362BCD">
        <w:rPr>
          <w:rFonts w:asciiTheme="minorHAnsi" w:hAnsiTheme="minorHAnsi" w:cstheme="minorHAnsi"/>
          <w:color w:val="auto"/>
        </w:rPr>
        <w:t>encouraged</w:t>
      </w:r>
      <w:proofErr w:type="gramEnd"/>
      <w:r w:rsidRPr="00362BCD">
        <w:rPr>
          <w:rFonts w:asciiTheme="minorHAnsi" w:hAnsiTheme="minorHAnsi" w:cstheme="minorHAnsi"/>
          <w:color w:val="auto"/>
        </w:rPr>
        <w:t xml:space="preserve"> industry to participate actively in shaping these changes.</w:t>
      </w:r>
    </w:p>
    <w:p w14:paraId="3D7B63E7"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Implications:</w:t>
      </w:r>
    </w:p>
    <w:p w14:paraId="41B4694A" w14:textId="77777777" w:rsidR="00362BCD" w:rsidRPr="00362BCD" w:rsidRDefault="00362BCD" w:rsidP="000A5C65">
      <w:pPr>
        <w:pStyle w:val="Heading5"/>
        <w:numPr>
          <w:ilvl w:val="0"/>
          <w:numId w:val="2"/>
        </w:numPr>
        <w:spacing w:before="0"/>
        <w:rPr>
          <w:rFonts w:asciiTheme="minorHAnsi" w:hAnsiTheme="minorHAnsi" w:cstheme="minorHAnsi"/>
          <w:color w:val="auto"/>
        </w:rPr>
      </w:pPr>
      <w:r w:rsidRPr="00362BCD">
        <w:rPr>
          <w:rFonts w:asciiTheme="minorHAnsi" w:hAnsiTheme="minorHAnsi" w:cstheme="minorHAnsi"/>
          <w:color w:val="auto"/>
        </w:rPr>
        <w:t>The GSA is signaling a period of significant change and is seeking industry’s expertise to avoid blind spots.</w:t>
      </w:r>
    </w:p>
    <w:p w14:paraId="41380397" w14:textId="77777777" w:rsidR="00362BCD" w:rsidRPr="00362BCD" w:rsidRDefault="00362BCD" w:rsidP="000A5C65">
      <w:pPr>
        <w:pStyle w:val="Heading5"/>
        <w:numPr>
          <w:ilvl w:val="0"/>
          <w:numId w:val="2"/>
        </w:numPr>
        <w:spacing w:before="0"/>
        <w:rPr>
          <w:rFonts w:asciiTheme="minorHAnsi" w:hAnsiTheme="minorHAnsi" w:cstheme="minorHAnsi"/>
          <w:color w:val="auto"/>
        </w:rPr>
      </w:pPr>
      <w:r w:rsidRPr="00362BCD">
        <w:rPr>
          <w:rFonts w:asciiTheme="minorHAnsi" w:hAnsiTheme="minorHAnsi" w:cstheme="minorHAnsi"/>
          <w:color w:val="auto"/>
        </w:rPr>
        <w:t>Contractors should proactively engage with GSA, provide feedback, and prepare for evolving requirements and processes.</w:t>
      </w:r>
    </w:p>
    <w:p w14:paraId="1CEE8B2E" w14:textId="31C73132" w:rsidR="00362BCD" w:rsidRPr="00362BCD" w:rsidRDefault="00362BCD" w:rsidP="000A5C65">
      <w:pPr>
        <w:pStyle w:val="Heading5"/>
        <w:spacing w:before="0"/>
        <w:rPr>
          <w:rFonts w:asciiTheme="minorHAnsi" w:hAnsiTheme="minorHAnsi" w:cstheme="minorHAnsi"/>
          <w:color w:val="auto"/>
        </w:rPr>
      </w:pPr>
    </w:p>
    <w:p w14:paraId="065E1697" w14:textId="77777777" w:rsidR="00362BCD" w:rsidRPr="00362BCD" w:rsidRDefault="00362BCD" w:rsidP="000A5C65">
      <w:pPr>
        <w:pStyle w:val="Heading5"/>
        <w:spacing w:before="0"/>
        <w:rPr>
          <w:rFonts w:asciiTheme="minorHAnsi" w:hAnsiTheme="minorHAnsi" w:cstheme="minorHAnsi"/>
          <w:b/>
          <w:bCs/>
          <w:color w:val="auto"/>
        </w:rPr>
      </w:pPr>
      <w:r w:rsidRPr="00362BCD">
        <w:rPr>
          <w:rFonts w:asciiTheme="minorHAnsi" w:hAnsiTheme="minorHAnsi" w:cstheme="minorHAnsi"/>
          <w:b/>
          <w:bCs/>
          <w:color w:val="auto"/>
        </w:rPr>
        <w:t>2. Contract Consolidation Initiative</w:t>
      </w:r>
    </w:p>
    <w:p w14:paraId="62955F24"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Background:</w:t>
      </w:r>
    </w:p>
    <w:p w14:paraId="176FE270" w14:textId="77777777" w:rsidR="00362BCD" w:rsidRPr="00362BCD" w:rsidRDefault="00362BCD" w:rsidP="000A5C65">
      <w:pPr>
        <w:pStyle w:val="Heading5"/>
        <w:numPr>
          <w:ilvl w:val="0"/>
          <w:numId w:val="3"/>
        </w:numPr>
        <w:spacing w:before="0"/>
        <w:rPr>
          <w:rFonts w:asciiTheme="minorHAnsi" w:hAnsiTheme="minorHAnsi" w:cstheme="minorHAnsi"/>
          <w:color w:val="auto"/>
        </w:rPr>
      </w:pPr>
      <w:r w:rsidRPr="00362BCD">
        <w:rPr>
          <w:rFonts w:asciiTheme="minorHAnsi" w:hAnsiTheme="minorHAnsi" w:cstheme="minorHAnsi"/>
          <w:color w:val="auto"/>
        </w:rPr>
        <w:t>Driven by recent Executive Orders (EOs 14240 and 14275), GSA is tasked with consolidating procurement to eliminate waste and restore common sense to federal acquisition.</w:t>
      </w:r>
    </w:p>
    <w:p w14:paraId="3A4EADEB" w14:textId="77777777" w:rsidR="00362BCD" w:rsidRPr="00362BCD" w:rsidRDefault="00362BCD" w:rsidP="000A5C65">
      <w:pPr>
        <w:pStyle w:val="Heading5"/>
        <w:numPr>
          <w:ilvl w:val="0"/>
          <w:numId w:val="3"/>
        </w:numPr>
        <w:spacing w:before="0"/>
        <w:rPr>
          <w:rFonts w:asciiTheme="minorHAnsi" w:hAnsiTheme="minorHAnsi" w:cstheme="minorHAnsi"/>
          <w:color w:val="auto"/>
        </w:rPr>
      </w:pPr>
      <w:r w:rsidRPr="00362BCD">
        <w:rPr>
          <w:rFonts w:asciiTheme="minorHAnsi" w:hAnsiTheme="minorHAnsi" w:cstheme="minorHAnsi"/>
          <w:color w:val="auto"/>
        </w:rPr>
        <w:t xml:space="preserve">GSA currently manages 20% of </w:t>
      </w:r>
      <w:proofErr w:type="gramStart"/>
      <w:r w:rsidRPr="00362BCD">
        <w:rPr>
          <w:rFonts w:asciiTheme="minorHAnsi" w:hAnsiTheme="minorHAnsi" w:cstheme="minorHAnsi"/>
          <w:color w:val="auto"/>
        </w:rPr>
        <w:t>common</w:t>
      </w:r>
      <w:proofErr w:type="gramEnd"/>
      <w:r w:rsidRPr="00362BCD">
        <w:rPr>
          <w:rFonts w:asciiTheme="minorHAnsi" w:hAnsiTheme="minorHAnsi" w:cstheme="minorHAnsi"/>
          <w:color w:val="auto"/>
        </w:rPr>
        <w:t xml:space="preserve"> federal spend, with substantial cost avoidance already achieved.</w:t>
      </w:r>
    </w:p>
    <w:p w14:paraId="7772D1EE"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Current Status:</w:t>
      </w:r>
    </w:p>
    <w:p w14:paraId="0AEC9532" w14:textId="77777777" w:rsidR="00362BCD" w:rsidRPr="00362BCD" w:rsidRDefault="00362BCD" w:rsidP="000A5C65">
      <w:pPr>
        <w:pStyle w:val="Heading5"/>
        <w:numPr>
          <w:ilvl w:val="0"/>
          <w:numId w:val="4"/>
        </w:numPr>
        <w:spacing w:before="0"/>
        <w:rPr>
          <w:rFonts w:asciiTheme="minorHAnsi" w:hAnsiTheme="minorHAnsi" w:cstheme="minorHAnsi"/>
          <w:color w:val="auto"/>
        </w:rPr>
      </w:pPr>
      <w:r w:rsidRPr="00362BCD">
        <w:rPr>
          <w:rFonts w:asciiTheme="minorHAnsi" w:hAnsiTheme="minorHAnsi" w:cstheme="minorHAnsi"/>
          <w:color w:val="auto"/>
        </w:rPr>
        <w:t>GSA is evaluating the consolidation landscape: reviewing existing contracts, assessing cost savings, agency commitments, staffing, and risks.</w:t>
      </w:r>
    </w:p>
    <w:p w14:paraId="31244AD9" w14:textId="77777777" w:rsidR="00362BCD" w:rsidRPr="00362BCD" w:rsidRDefault="00362BCD" w:rsidP="000A5C65">
      <w:pPr>
        <w:pStyle w:val="Heading5"/>
        <w:numPr>
          <w:ilvl w:val="0"/>
          <w:numId w:val="4"/>
        </w:numPr>
        <w:spacing w:before="0"/>
        <w:rPr>
          <w:rFonts w:asciiTheme="minorHAnsi" w:hAnsiTheme="minorHAnsi" w:cstheme="minorHAnsi"/>
          <w:color w:val="auto"/>
        </w:rPr>
      </w:pPr>
      <w:r w:rsidRPr="00362BCD">
        <w:rPr>
          <w:rFonts w:asciiTheme="minorHAnsi" w:hAnsiTheme="minorHAnsi" w:cstheme="minorHAnsi"/>
          <w:color w:val="auto"/>
        </w:rPr>
        <w:t>No final decisions have been made; stakeholder input is being actively sought.</w:t>
      </w:r>
    </w:p>
    <w:p w14:paraId="58583CB3"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Industry Impact:</w:t>
      </w:r>
    </w:p>
    <w:p w14:paraId="4C1D7F03" w14:textId="77777777" w:rsidR="00362BCD" w:rsidRPr="00362BCD" w:rsidRDefault="00362BCD" w:rsidP="000A5C65">
      <w:pPr>
        <w:pStyle w:val="Heading5"/>
        <w:numPr>
          <w:ilvl w:val="0"/>
          <w:numId w:val="5"/>
        </w:numPr>
        <w:spacing w:before="0"/>
        <w:rPr>
          <w:rFonts w:asciiTheme="minorHAnsi" w:hAnsiTheme="minorHAnsi" w:cstheme="minorHAnsi"/>
          <w:color w:val="auto"/>
        </w:rPr>
      </w:pPr>
      <w:r w:rsidRPr="00362BCD">
        <w:rPr>
          <w:rFonts w:asciiTheme="minorHAnsi" w:hAnsiTheme="minorHAnsi" w:cstheme="minorHAnsi"/>
          <w:b/>
          <w:bCs/>
          <w:color w:val="auto"/>
        </w:rPr>
        <w:t>Opportunities:</w:t>
      </w:r>
      <w:r w:rsidRPr="00362BCD">
        <w:rPr>
          <w:rFonts w:asciiTheme="minorHAnsi" w:hAnsiTheme="minorHAnsi" w:cstheme="minorHAnsi"/>
          <w:color w:val="auto"/>
        </w:rPr>
        <w:t xml:space="preserve"> Potential for increased business through consolidated contracts, simplified processes, and greater transparency.</w:t>
      </w:r>
    </w:p>
    <w:p w14:paraId="229E63B8" w14:textId="77777777" w:rsidR="00362BCD" w:rsidRPr="00362BCD" w:rsidRDefault="00362BCD" w:rsidP="000A5C65">
      <w:pPr>
        <w:pStyle w:val="Heading5"/>
        <w:numPr>
          <w:ilvl w:val="0"/>
          <w:numId w:val="5"/>
        </w:numPr>
        <w:spacing w:before="0"/>
        <w:rPr>
          <w:rFonts w:asciiTheme="minorHAnsi" w:hAnsiTheme="minorHAnsi" w:cstheme="minorHAnsi"/>
          <w:color w:val="auto"/>
        </w:rPr>
      </w:pPr>
      <w:r w:rsidRPr="00362BCD">
        <w:rPr>
          <w:rFonts w:asciiTheme="minorHAnsi" w:hAnsiTheme="minorHAnsi" w:cstheme="minorHAnsi"/>
          <w:b/>
          <w:bCs/>
          <w:color w:val="auto"/>
        </w:rPr>
        <w:t>Challenges:</w:t>
      </w:r>
      <w:r w:rsidRPr="00362BCD">
        <w:rPr>
          <w:rFonts w:asciiTheme="minorHAnsi" w:hAnsiTheme="minorHAnsi" w:cstheme="minorHAnsi"/>
          <w:color w:val="auto"/>
        </w:rPr>
        <w:t xml:space="preserve"> Possible reduction or elimination of certain contract vehicles, shifting priorities, and increased competition for fewer, larger contracts.</w:t>
      </w:r>
    </w:p>
    <w:p w14:paraId="31644437" w14:textId="77777777" w:rsidR="00362BCD" w:rsidRPr="00362BCD" w:rsidRDefault="00362BCD" w:rsidP="000A5C65">
      <w:pPr>
        <w:pStyle w:val="Heading5"/>
        <w:numPr>
          <w:ilvl w:val="0"/>
          <w:numId w:val="5"/>
        </w:numPr>
        <w:spacing w:before="0"/>
        <w:rPr>
          <w:rFonts w:asciiTheme="minorHAnsi" w:hAnsiTheme="minorHAnsi" w:cstheme="minorHAnsi"/>
          <w:color w:val="auto"/>
        </w:rPr>
      </w:pPr>
      <w:r w:rsidRPr="00362BCD">
        <w:rPr>
          <w:rFonts w:asciiTheme="minorHAnsi" w:hAnsiTheme="minorHAnsi" w:cstheme="minorHAnsi"/>
          <w:b/>
          <w:bCs/>
          <w:color w:val="auto"/>
        </w:rPr>
        <w:t>Action Items:</w:t>
      </w:r>
      <w:r w:rsidRPr="00362BCD">
        <w:rPr>
          <w:rFonts w:asciiTheme="minorHAnsi" w:hAnsiTheme="minorHAnsi" w:cstheme="minorHAnsi"/>
          <w:color w:val="auto"/>
        </w:rPr>
        <w:t xml:space="preserve"> Contractors should monitor GSA communications, participate in feedback sessions, and prepare for possible changes to contract portfolios.</w:t>
      </w:r>
    </w:p>
    <w:p w14:paraId="6E99B88F" w14:textId="41B7247B" w:rsidR="00362BCD" w:rsidRPr="00362BCD" w:rsidRDefault="00362BCD" w:rsidP="000A5C65">
      <w:pPr>
        <w:pStyle w:val="Heading5"/>
        <w:spacing w:before="0"/>
        <w:rPr>
          <w:rFonts w:asciiTheme="minorHAnsi" w:hAnsiTheme="minorHAnsi" w:cstheme="minorHAnsi"/>
          <w:color w:val="auto"/>
        </w:rPr>
      </w:pPr>
    </w:p>
    <w:p w14:paraId="1A4A4A33" w14:textId="77777777" w:rsidR="00362BCD" w:rsidRPr="00362BCD" w:rsidRDefault="00362BCD" w:rsidP="000A5C65">
      <w:pPr>
        <w:pStyle w:val="Heading5"/>
        <w:spacing w:before="0"/>
        <w:rPr>
          <w:rFonts w:asciiTheme="minorHAnsi" w:hAnsiTheme="minorHAnsi" w:cstheme="minorHAnsi"/>
          <w:b/>
          <w:bCs/>
          <w:color w:val="auto"/>
        </w:rPr>
      </w:pPr>
      <w:r w:rsidRPr="00362BCD">
        <w:rPr>
          <w:rFonts w:asciiTheme="minorHAnsi" w:hAnsiTheme="minorHAnsi" w:cstheme="minorHAnsi"/>
          <w:b/>
          <w:bCs/>
          <w:color w:val="auto"/>
        </w:rPr>
        <w:lastRenderedPageBreak/>
        <w:t>3. Revolutionary FAR Overhaul (RFO)</w:t>
      </w:r>
    </w:p>
    <w:p w14:paraId="2F0D50EF"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Background:</w:t>
      </w:r>
    </w:p>
    <w:p w14:paraId="2CE6A277" w14:textId="77777777" w:rsidR="00362BCD" w:rsidRPr="00362BCD" w:rsidRDefault="00362BCD" w:rsidP="000A5C65">
      <w:pPr>
        <w:pStyle w:val="Heading5"/>
        <w:numPr>
          <w:ilvl w:val="0"/>
          <w:numId w:val="6"/>
        </w:numPr>
        <w:spacing w:before="0"/>
        <w:rPr>
          <w:rFonts w:asciiTheme="minorHAnsi" w:hAnsiTheme="minorHAnsi" w:cstheme="minorHAnsi"/>
          <w:color w:val="auto"/>
        </w:rPr>
      </w:pPr>
      <w:r w:rsidRPr="00362BCD">
        <w:rPr>
          <w:rFonts w:asciiTheme="minorHAnsi" w:hAnsiTheme="minorHAnsi" w:cstheme="minorHAnsi"/>
          <w:color w:val="auto"/>
        </w:rPr>
        <w:t>The Federal Acquisition Regulation (FAR) has not undergone a comprehensive rewrite in 30 years.</w:t>
      </w:r>
    </w:p>
    <w:p w14:paraId="26F36734" w14:textId="77777777" w:rsidR="00362BCD" w:rsidRPr="00362BCD" w:rsidRDefault="00362BCD" w:rsidP="000A5C65">
      <w:pPr>
        <w:pStyle w:val="Heading5"/>
        <w:numPr>
          <w:ilvl w:val="0"/>
          <w:numId w:val="6"/>
        </w:numPr>
        <w:spacing w:before="0"/>
        <w:rPr>
          <w:rFonts w:asciiTheme="minorHAnsi" w:hAnsiTheme="minorHAnsi" w:cstheme="minorHAnsi"/>
          <w:color w:val="auto"/>
        </w:rPr>
      </w:pPr>
      <w:r w:rsidRPr="00362BCD">
        <w:rPr>
          <w:rFonts w:asciiTheme="minorHAnsi" w:hAnsiTheme="minorHAnsi" w:cstheme="minorHAnsi"/>
          <w:color w:val="auto"/>
        </w:rPr>
        <w:t>The RFO initiative, mandated by EO, requires a rewrite within 180 days, focusing on statutory essentials and critical non-statutory requirements.</w:t>
      </w:r>
    </w:p>
    <w:p w14:paraId="62CB03AA"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Approach:</w:t>
      </w:r>
    </w:p>
    <w:p w14:paraId="21587F6E" w14:textId="77777777" w:rsidR="00362BCD" w:rsidRPr="00362BCD" w:rsidRDefault="00362BCD" w:rsidP="000A5C65">
      <w:pPr>
        <w:pStyle w:val="Heading5"/>
        <w:numPr>
          <w:ilvl w:val="0"/>
          <w:numId w:val="7"/>
        </w:numPr>
        <w:spacing w:before="0"/>
        <w:rPr>
          <w:rFonts w:asciiTheme="minorHAnsi" w:hAnsiTheme="minorHAnsi" w:cstheme="minorHAnsi"/>
          <w:color w:val="auto"/>
        </w:rPr>
      </w:pPr>
      <w:r w:rsidRPr="00362BCD">
        <w:rPr>
          <w:rFonts w:asciiTheme="minorHAnsi" w:hAnsiTheme="minorHAnsi" w:cstheme="minorHAnsi"/>
          <w:color w:val="auto"/>
        </w:rPr>
        <w:t>Four workstreams: Policy, Practitioner, Legislative, and Technology.</w:t>
      </w:r>
    </w:p>
    <w:p w14:paraId="5B1D5D4D" w14:textId="77777777" w:rsidR="00362BCD" w:rsidRPr="00362BCD" w:rsidRDefault="00362BCD" w:rsidP="000A5C65">
      <w:pPr>
        <w:pStyle w:val="Heading5"/>
        <w:numPr>
          <w:ilvl w:val="0"/>
          <w:numId w:val="7"/>
        </w:numPr>
        <w:spacing w:before="0"/>
        <w:rPr>
          <w:rFonts w:asciiTheme="minorHAnsi" w:hAnsiTheme="minorHAnsi" w:cstheme="minorHAnsi"/>
          <w:color w:val="auto"/>
        </w:rPr>
      </w:pPr>
      <w:r w:rsidRPr="00362BCD">
        <w:rPr>
          <w:rFonts w:asciiTheme="minorHAnsi" w:hAnsiTheme="minorHAnsi" w:cstheme="minorHAnsi"/>
          <w:color w:val="auto"/>
        </w:rPr>
        <w:t>Emphasis on change management, workforce adaptation, and iterative testing before formalizing changes.</w:t>
      </w:r>
    </w:p>
    <w:p w14:paraId="1091319C"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Key Points for Industry:</w:t>
      </w:r>
    </w:p>
    <w:p w14:paraId="2D28F0F5" w14:textId="77777777" w:rsidR="00362BCD" w:rsidRPr="00362BCD" w:rsidRDefault="00362BCD" w:rsidP="000A5C65">
      <w:pPr>
        <w:pStyle w:val="Heading5"/>
        <w:numPr>
          <w:ilvl w:val="0"/>
          <w:numId w:val="8"/>
        </w:numPr>
        <w:spacing w:before="0"/>
        <w:rPr>
          <w:rFonts w:asciiTheme="minorHAnsi" w:hAnsiTheme="minorHAnsi" w:cstheme="minorHAnsi"/>
          <w:color w:val="auto"/>
        </w:rPr>
      </w:pPr>
      <w:r w:rsidRPr="00362BCD">
        <w:rPr>
          <w:rFonts w:asciiTheme="minorHAnsi" w:hAnsiTheme="minorHAnsi" w:cstheme="minorHAnsi"/>
          <w:b/>
          <w:bCs/>
          <w:color w:val="auto"/>
        </w:rPr>
        <w:t>Engagement:</w:t>
      </w:r>
      <w:r w:rsidRPr="00362BCD">
        <w:rPr>
          <w:rFonts w:asciiTheme="minorHAnsi" w:hAnsiTheme="minorHAnsi" w:cstheme="minorHAnsi"/>
          <w:color w:val="auto"/>
        </w:rPr>
        <w:t xml:space="preserve"> Industry input is crucial, especially on practical impacts and unintended consequences.</w:t>
      </w:r>
    </w:p>
    <w:p w14:paraId="16B0C531" w14:textId="77777777" w:rsidR="00362BCD" w:rsidRPr="00362BCD" w:rsidRDefault="00362BCD" w:rsidP="000A5C65">
      <w:pPr>
        <w:pStyle w:val="Heading5"/>
        <w:numPr>
          <w:ilvl w:val="0"/>
          <w:numId w:val="8"/>
        </w:numPr>
        <w:spacing w:before="0"/>
        <w:rPr>
          <w:rFonts w:asciiTheme="minorHAnsi" w:hAnsiTheme="minorHAnsi" w:cstheme="minorHAnsi"/>
          <w:color w:val="auto"/>
        </w:rPr>
      </w:pPr>
      <w:r w:rsidRPr="00362BCD">
        <w:rPr>
          <w:rFonts w:asciiTheme="minorHAnsi" w:hAnsiTheme="minorHAnsi" w:cstheme="minorHAnsi"/>
          <w:b/>
          <w:bCs/>
          <w:color w:val="auto"/>
        </w:rPr>
        <w:t>Adaptation:</w:t>
      </w:r>
      <w:r w:rsidRPr="00362BCD">
        <w:rPr>
          <w:rFonts w:asciiTheme="minorHAnsi" w:hAnsiTheme="minorHAnsi" w:cstheme="minorHAnsi"/>
          <w:color w:val="auto"/>
        </w:rPr>
        <w:t xml:space="preserve"> Contractors must be ready for rapid changes in acquisition rules and processes.</w:t>
      </w:r>
    </w:p>
    <w:p w14:paraId="1689A8A4" w14:textId="77777777" w:rsidR="00362BCD" w:rsidRPr="00362BCD" w:rsidRDefault="00362BCD" w:rsidP="000A5C65">
      <w:pPr>
        <w:pStyle w:val="Heading5"/>
        <w:numPr>
          <w:ilvl w:val="0"/>
          <w:numId w:val="8"/>
        </w:numPr>
        <w:spacing w:before="0"/>
        <w:rPr>
          <w:rFonts w:asciiTheme="minorHAnsi" w:hAnsiTheme="minorHAnsi" w:cstheme="minorHAnsi"/>
          <w:color w:val="auto"/>
        </w:rPr>
      </w:pPr>
      <w:r w:rsidRPr="00362BCD">
        <w:rPr>
          <w:rFonts w:asciiTheme="minorHAnsi" w:hAnsiTheme="minorHAnsi" w:cstheme="minorHAnsi"/>
          <w:b/>
          <w:bCs/>
          <w:color w:val="auto"/>
        </w:rPr>
        <w:t>Communication:</w:t>
      </w:r>
      <w:r w:rsidRPr="00362BCD">
        <w:rPr>
          <w:rFonts w:asciiTheme="minorHAnsi" w:hAnsiTheme="minorHAnsi" w:cstheme="minorHAnsi"/>
          <w:color w:val="auto"/>
        </w:rPr>
        <w:t xml:space="preserve"> Direct questions to Contracting Officers and use feedback channels on Acquisition.gov.</w:t>
      </w:r>
    </w:p>
    <w:p w14:paraId="3A176C20" w14:textId="29FF49F1" w:rsidR="00362BCD" w:rsidRPr="00362BCD" w:rsidRDefault="00362BCD" w:rsidP="000A5C65">
      <w:pPr>
        <w:pStyle w:val="Heading5"/>
        <w:spacing w:before="0"/>
        <w:rPr>
          <w:rFonts w:asciiTheme="minorHAnsi" w:hAnsiTheme="minorHAnsi" w:cstheme="minorHAnsi"/>
          <w:color w:val="auto"/>
        </w:rPr>
      </w:pPr>
    </w:p>
    <w:p w14:paraId="2F9BEB95" w14:textId="77777777" w:rsidR="00362BCD" w:rsidRPr="00362BCD" w:rsidRDefault="00362BCD" w:rsidP="000A5C65">
      <w:pPr>
        <w:pStyle w:val="Heading5"/>
        <w:spacing w:before="0"/>
        <w:rPr>
          <w:rFonts w:asciiTheme="minorHAnsi" w:hAnsiTheme="minorHAnsi" w:cstheme="minorHAnsi"/>
          <w:b/>
          <w:bCs/>
          <w:color w:val="auto"/>
        </w:rPr>
      </w:pPr>
      <w:r w:rsidRPr="00362BCD">
        <w:rPr>
          <w:rFonts w:asciiTheme="minorHAnsi" w:hAnsiTheme="minorHAnsi" w:cstheme="minorHAnsi"/>
          <w:b/>
          <w:bCs/>
          <w:color w:val="auto"/>
        </w:rPr>
        <w:t>4. Practical Guidance for Contractors</w:t>
      </w:r>
    </w:p>
    <w:p w14:paraId="0BA97272" w14:textId="77777777" w:rsidR="00362BCD" w:rsidRPr="00362BCD" w:rsidRDefault="00362BCD" w:rsidP="000A5C65">
      <w:pPr>
        <w:pStyle w:val="Heading5"/>
        <w:numPr>
          <w:ilvl w:val="0"/>
          <w:numId w:val="9"/>
        </w:numPr>
        <w:spacing w:before="0"/>
        <w:rPr>
          <w:rFonts w:asciiTheme="minorHAnsi" w:hAnsiTheme="minorHAnsi" w:cstheme="minorHAnsi"/>
          <w:color w:val="auto"/>
        </w:rPr>
      </w:pPr>
      <w:r w:rsidRPr="00362BCD">
        <w:rPr>
          <w:rFonts w:asciiTheme="minorHAnsi" w:hAnsiTheme="minorHAnsi" w:cstheme="minorHAnsi"/>
          <w:b/>
          <w:bCs/>
          <w:color w:val="auto"/>
        </w:rPr>
        <w:t>Stay Informed:</w:t>
      </w:r>
      <w:r w:rsidRPr="00362BCD">
        <w:rPr>
          <w:rFonts w:asciiTheme="minorHAnsi" w:hAnsiTheme="minorHAnsi" w:cstheme="minorHAnsi"/>
          <w:color w:val="auto"/>
        </w:rPr>
        <w:t xml:space="preserve"> Regularly check GSA and Acquisition.gov updates for new guidance and opportunities to provide input.</w:t>
      </w:r>
    </w:p>
    <w:p w14:paraId="7E98458B" w14:textId="77777777" w:rsidR="00362BCD" w:rsidRPr="00362BCD" w:rsidRDefault="00362BCD" w:rsidP="000A5C65">
      <w:pPr>
        <w:pStyle w:val="Heading5"/>
        <w:numPr>
          <w:ilvl w:val="0"/>
          <w:numId w:val="9"/>
        </w:numPr>
        <w:spacing w:before="0"/>
        <w:rPr>
          <w:rFonts w:asciiTheme="minorHAnsi" w:hAnsiTheme="minorHAnsi" w:cstheme="minorHAnsi"/>
          <w:color w:val="auto"/>
        </w:rPr>
      </w:pPr>
      <w:r w:rsidRPr="00362BCD">
        <w:rPr>
          <w:rFonts w:asciiTheme="minorHAnsi" w:hAnsiTheme="minorHAnsi" w:cstheme="minorHAnsi"/>
          <w:b/>
          <w:bCs/>
          <w:color w:val="auto"/>
        </w:rPr>
        <w:t>Engage Early:</w:t>
      </w:r>
      <w:r w:rsidRPr="00362BCD">
        <w:rPr>
          <w:rFonts w:asciiTheme="minorHAnsi" w:hAnsiTheme="minorHAnsi" w:cstheme="minorHAnsi"/>
          <w:color w:val="auto"/>
        </w:rPr>
        <w:t xml:space="preserve"> Participate in industry days, webinars, and feedback sessions to influence policy and implementation.</w:t>
      </w:r>
    </w:p>
    <w:p w14:paraId="32B0E64D" w14:textId="77777777" w:rsidR="00362BCD" w:rsidRPr="00362BCD" w:rsidRDefault="00362BCD" w:rsidP="000A5C65">
      <w:pPr>
        <w:pStyle w:val="Heading5"/>
        <w:numPr>
          <w:ilvl w:val="0"/>
          <w:numId w:val="9"/>
        </w:numPr>
        <w:spacing w:before="0"/>
        <w:rPr>
          <w:rFonts w:asciiTheme="minorHAnsi" w:hAnsiTheme="minorHAnsi" w:cstheme="minorHAnsi"/>
          <w:color w:val="auto"/>
        </w:rPr>
      </w:pPr>
      <w:r w:rsidRPr="00362BCD">
        <w:rPr>
          <w:rFonts w:asciiTheme="minorHAnsi" w:hAnsiTheme="minorHAnsi" w:cstheme="minorHAnsi"/>
          <w:b/>
          <w:bCs/>
          <w:color w:val="auto"/>
        </w:rPr>
        <w:t>Review Contracts:</w:t>
      </w:r>
      <w:r w:rsidRPr="00362BCD">
        <w:rPr>
          <w:rFonts w:asciiTheme="minorHAnsi" w:hAnsiTheme="minorHAnsi" w:cstheme="minorHAnsi"/>
          <w:color w:val="auto"/>
        </w:rPr>
        <w:t xml:space="preserve"> Identify clauses or practices that could be streamlined or revised to benefit both government and industry.</w:t>
      </w:r>
    </w:p>
    <w:p w14:paraId="477FD4BD" w14:textId="77777777" w:rsidR="00362BCD" w:rsidRPr="00362BCD" w:rsidRDefault="00362BCD" w:rsidP="000A5C65">
      <w:pPr>
        <w:pStyle w:val="Heading5"/>
        <w:numPr>
          <w:ilvl w:val="0"/>
          <w:numId w:val="9"/>
        </w:numPr>
        <w:spacing w:before="0"/>
        <w:rPr>
          <w:rFonts w:asciiTheme="minorHAnsi" w:hAnsiTheme="minorHAnsi" w:cstheme="minorHAnsi"/>
          <w:color w:val="auto"/>
        </w:rPr>
      </w:pPr>
      <w:r w:rsidRPr="00362BCD">
        <w:rPr>
          <w:rFonts w:asciiTheme="minorHAnsi" w:hAnsiTheme="minorHAnsi" w:cstheme="minorHAnsi"/>
          <w:b/>
          <w:bCs/>
          <w:color w:val="auto"/>
        </w:rPr>
        <w:t>Prepare for Change:</w:t>
      </w:r>
      <w:r w:rsidRPr="00362BCD">
        <w:rPr>
          <w:rFonts w:asciiTheme="minorHAnsi" w:hAnsiTheme="minorHAnsi" w:cstheme="minorHAnsi"/>
          <w:color w:val="auto"/>
        </w:rPr>
        <w:t xml:space="preserve"> Develop internal processes to quickly adapt to new FAR requirements and consolidated procurement vehicles.</w:t>
      </w:r>
    </w:p>
    <w:p w14:paraId="0E113C6B" w14:textId="77777777" w:rsidR="00362BCD" w:rsidRPr="00362BCD" w:rsidRDefault="00362BCD" w:rsidP="000A5C65">
      <w:pPr>
        <w:pStyle w:val="Heading5"/>
        <w:numPr>
          <w:ilvl w:val="0"/>
          <w:numId w:val="9"/>
        </w:numPr>
        <w:spacing w:before="0"/>
        <w:rPr>
          <w:rFonts w:asciiTheme="minorHAnsi" w:hAnsiTheme="minorHAnsi" w:cstheme="minorHAnsi"/>
          <w:color w:val="auto"/>
        </w:rPr>
      </w:pPr>
      <w:r w:rsidRPr="00362BCD">
        <w:rPr>
          <w:rFonts w:asciiTheme="minorHAnsi" w:hAnsiTheme="minorHAnsi" w:cstheme="minorHAnsi"/>
          <w:b/>
          <w:bCs/>
          <w:color w:val="auto"/>
        </w:rPr>
        <w:t>Communicate:</w:t>
      </w:r>
      <w:r w:rsidRPr="00362BCD">
        <w:rPr>
          <w:rFonts w:asciiTheme="minorHAnsi" w:hAnsiTheme="minorHAnsi" w:cstheme="minorHAnsi"/>
          <w:color w:val="auto"/>
        </w:rPr>
        <w:t xml:space="preserve"> Maintain open lines with your Contracting Officers and be proactive in raising questions or concerns.</w:t>
      </w:r>
    </w:p>
    <w:p w14:paraId="46477B9C" w14:textId="41C4726D" w:rsidR="00362BCD" w:rsidRPr="00362BCD" w:rsidRDefault="00362BCD" w:rsidP="000A5C65">
      <w:pPr>
        <w:pStyle w:val="Heading5"/>
        <w:spacing w:before="0"/>
        <w:rPr>
          <w:rFonts w:asciiTheme="minorHAnsi" w:hAnsiTheme="minorHAnsi" w:cstheme="minorHAnsi"/>
          <w:color w:val="auto"/>
        </w:rPr>
      </w:pPr>
    </w:p>
    <w:p w14:paraId="3F5DE5FD" w14:textId="77777777" w:rsidR="00362BCD" w:rsidRPr="00362BCD" w:rsidRDefault="00362BCD" w:rsidP="000A5C65">
      <w:pPr>
        <w:pStyle w:val="Heading5"/>
        <w:spacing w:before="0"/>
        <w:rPr>
          <w:rFonts w:asciiTheme="minorHAnsi" w:hAnsiTheme="minorHAnsi" w:cstheme="minorHAnsi"/>
          <w:b/>
          <w:bCs/>
          <w:color w:val="auto"/>
        </w:rPr>
      </w:pPr>
      <w:r w:rsidRPr="00362BCD">
        <w:rPr>
          <w:rFonts w:asciiTheme="minorHAnsi" w:hAnsiTheme="minorHAnsi" w:cstheme="minorHAnsi"/>
          <w:b/>
          <w:bCs/>
          <w:color w:val="auto"/>
        </w:rPr>
        <w:t>5. Conclusion</w:t>
      </w:r>
    </w:p>
    <w:p w14:paraId="104CFE58"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color w:val="auto"/>
        </w:rPr>
        <w:t>The GSA’s procurement consolidation and FAR overhaul represent some of the most significant changes to federal acquisition in decades. While these initiatives promise greater efficiency and cost savings, they also introduce uncertainty and require active industry participation. Contractors who engage, adapt, and innovate will be best positioned to thrive in the new federal procurement landscape.</w:t>
      </w:r>
    </w:p>
    <w:p w14:paraId="74C62ADD"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b/>
          <w:bCs/>
          <w:color w:val="auto"/>
        </w:rPr>
        <w:t>Next Steps:</w:t>
      </w:r>
    </w:p>
    <w:p w14:paraId="716769A0" w14:textId="77777777" w:rsidR="00362BCD" w:rsidRPr="00362BCD" w:rsidRDefault="00362BCD" w:rsidP="000A5C65">
      <w:pPr>
        <w:pStyle w:val="Heading5"/>
        <w:numPr>
          <w:ilvl w:val="0"/>
          <w:numId w:val="10"/>
        </w:numPr>
        <w:spacing w:before="0"/>
        <w:rPr>
          <w:rFonts w:asciiTheme="minorHAnsi" w:hAnsiTheme="minorHAnsi" w:cstheme="minorHAnsi"/>
          <w:color w:val="auto"/>
        </w:rPr>
      </w:pPr>
      <w:r w:rsidRPr="00362BCD">
        <w:rPr>
          <w:rFonts w:asciiTheme="minorHAnsi" w:hAnsiTheme="minorHAnsi" w:cstheme="minorHAnsi"/>
          <w:color w:val="auto"/>
        </w:rPr>
        <w:t>Monitor GSA announcements.</w:t>
      </w:r>
    </w:p>
    <w:p w14:paraId="274C1D62" w14:textId="77777777" w:rsidR="00362BCD" w:rsidRPr="00362BCD" w:rsidRDefault="00362BCD" w:rsidP="000A5C65">
      <w:pPr>
        <w:pStyle w:val="Heading5"/>
        <w:numPr>
          <w:ilvl w:val="0"/>
          <w:numId w:val="10"/>
        </w:numPr>
        <w:spacing w:before="0"/>
        <w:rPr>
          <w:rFonts w:asciiTheme="minorHAnsi" w:hAnsiTheme="minorHAnsi" w:cstheme="minorHAnsi"/>
          <w:color w:val="auto"/>
        </w:rPr>
      </w:pPr>
      <w:r w:rsidRPr="00362BCD">
        <w:rPr>
          <w:rFonts w:asciiTheme="minorHAnsi" w:hAnsiTheme="minorHAnsi" w:cstheme="minorHAnsi"/>
          <w:color w:val="auto"/>
        </w:rPr>
        <w:t>Join industry working groups.</w:t>
      </w:r>
    </w:p>
    <w:p w14:paraId="2E0FEEA0" w14:textId="77777777" w:rsidR="00362BCD" w:rsidRPr="00362BCD" w:rsidRDefault="00362BCD" w:rsidP="000A5C65">
      <w:pPr>
        <w:pStyle w:val="Heading5"/>
        <w:numPr>
          <w:ilvl w:val="0"/>
          <w:numId w:val="10"/>
        </w:numPr>
        <w:spacing w:before="0"/>
        <w:rPr>
          <w:rFonts w:asciiTheme="minorHAnsi" w:hAnsiTheme="minorHAnsi" w:cstheme="minorHAnsi"/>
          <w:color w:val="auto"/>
        </w:rPr>
      </w:pPr>
      <w:r w:rsidRPr="00362BCD">
        <w:rPr>
          <w:rFonts w:asciiTheme="minorHAnsi" w:hAnsiTheme="minorHAnsi" w:cstheme="minorHAnsi"/>
          <w:color w:val="auto"/>
        </w:rPr>
        <w:t>Prepare internal teams for rapid regulatory change.</w:t>
      </w:r>
    </w:p>
    <w:p w14:paraId="3442488B" w14:textId="77777777" w:rsidR="00362BCD" w:rsidRPr="00362BCD" w:rsidRDefault="00362BCD" w:rsidP="000A5C65">
      <w:pPr>
        <w:pStyle w:val="Heading5"/>
        <w:numPr>
          <w:ilvl w:val="0"/>
          <w:numId w:val="10"/>
        </w:numPr>
        <w:spacing w:before="0"/>
        <w:rPr>
          <w:rFonts w:asciiTheme="minorHAnsi" w:hAnsiTheme="minorHAnsi" w:cstheme="minorHAnsi"/>
          <w:color w:val="auto"/>
        </w:rPr>
      </w:pPr>
      <w:r w:rsidRPr="00362BCD">
        <w:rPr>
          <w:rFonts w:asciiTheme="minorHAnsi" w:hAnsiTheme="minorHAnsi" w:cstheme="minorHAnsi"/>
          <w:color w:val="auto"/>
        </w:rPr>
        <w:t>Provide constructive feedback to GSA and Acquisition.gov.</w:t>
      </w:r>
    </w:p>
    <w:p w14:paraId="6DE5BCDB" w14:textId="77777777" w:rsidR="00362BCD" w:rsidRPr="00362BCD" w:rsidRDefault="00362BCD" w:rsidP="000A5C65">
      <w:pPr>
        <w:pStyle w:val="Heading5"/>
        <w:spacing w:before="0"/>
        <w:rPr>
          <w:rFonts w:asciiTheme="minorHAnsi" w:hAnsiTheme="minorHAnsi" w:cstheme="minorHAnsi"/>
          <w:color w:val="auto"/>
        </w:rPr>
      </w:pPr>
      <w:r w:rsidRPr="00362BCD">
        <w:rPr>
          <w:rFonts w:asciiTheme="minorHAnsi" w:hAnsiTheme="minorHAnsi" w:cstheme="minorHAnsi"/>
          <w:color w:val="auto"/>
        </w:rPr>
        <w:t>If you need a tailored action plan or further analysis for your organization, let me know!</w:t>
      </w:r>
    </w:p>
    <w:p w14:paraId="4B9BB786" w14:textId="77777777" w:rsidR="00D87188" w:rsidRPr="000D0ED1" w:rsidRDefault="00D87188" w:rsidP="000A5C65">
      <w:pPr>
        <w:pStyle w:val="Heading5"/>
        <w:spacing w:before="0"/>
        <w:rPr>
          <w:rFonts w:asciiTheme="minorHAnsi" w:hAnsiTheme="minorHAnsi" w:cstheme="minorHAnsi"/>
          <w:color w:val="auto"/>
        </w:rPr>
      </w:pPr>
    </w:p>
    <w:sectPr w:rsidR="00D87188" w:rsidRPr="000D0ED1" w:rsidSect="00C223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AD637" w14:textId="77777777" w:rsidR="004B4223" w:rsidRDefault="004B4223" w:rsidP="00C223A7">
      <w:r>
        <w:separator/>
      </w:r>
    </w:p>
  </w:endnote>
  <w:endnote w:type="continuationSeparator" w:id="0">
    <w:p w14:paraId="36CFFBD5" w14:textId="77777777" w:rsidR="004B4223" w:rsidRDefault="004B4223" w:rsidP="00C2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B838" w14:textId="77777777" w:rsidR="004B4223" w:rsidRDefault="004B4223" w:rsidP="00C223A7">
      <w:r>
        <w:separator/>
      </w:r>
    </w:p>
  </w:footnote>
  <w:footnote w:type="continuationSeparator" w:id="0">
    <w:p w14:paraId="20A12BC0" w14:textId="77777777" w:rsidR="004B4223" w:rsidRDefault="004B4223" w:rsidP="00C2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0D87" w14:textId="77777777" w:rsidR="00C223A7" w:rsidRDefault="00C223A7">
    <w:pPr>
      <w:pStyle w:val="Header"/>
    </w:pPr>
    <w:r>
      <w:rPr>
        <w:noProof/>
      </w:rPr>
      <w:drawing>
        <wp:anchor distT="0" distB="0" distL="114300" distR="114300" simplePos="0" relativeHeight="251659264" behindDoc="1" locked="0" layoutInCell="1" allowOverlap="1" wp14:anchorId="0302EF0C" wp14:editId="22995B14">
          <wp:simplePos x="0" y="0"/>
          <wp:positionH relativeFrom="column">
            <wp:posOffset>4564800</wp:posOffset>
          </wp:positionH>
          <wp:positionV relativeFrom="paragraph">
            <wp:posOffset>-871280</wp:posOffset>
          </wp:positionV>
          <wp:extent cx="1487840" cy="1371600"/>
          <wp:effectExtent l="0" t="0" r="0" b="0"/>
          <wp:wrapTight wrapText="bothSides">
            <wp:wrapPolygon edited="0">
              <wp:start x="1291" y="10200"/>
              <wp:lineTo x="1475" y="14800"/>
              <wp:lineTo x="1659" y="18000"/>
              <wp:lineTo x="14013" y="18400"/>
              <wp:lineTo x="15488" y="18400"/>
              <wp:lineTo x="18991" y="18000"/>
              <wp:lineTo x="20282" y="17800"/>
              <wp:lineTo x="19913" y="12400"/>
              <wp:lineTo x="18807" y="12000"/>
              <wp:lineTo x="6269" y="10200"/>
              <wp:lineTo x="1291" y="102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ch Logo 2018v3.png"/>
                  <pic:cNvPicPr/>
                </pic:nvPicPr>
                <pic:blipFill>
                  <a:blip r:embed="rId1">
                    <a:extLst>
                      <a:ext uri="{28A0092B-C50C-407E-A947-70E740481C1C}">
                        <a14:useLocalDpi xmlns:a14="http://schemas.microsoft.com/office/drawing/2010/main" val="0"/>
                      </a:ext>
                    </a:extLst>
                  </a:blip>
                  <a:stretch>
                    <a:fillRect/>
                  </a:stretch>
                </pic:blipFill>
                <pic:spPr>
                  <a:xfrm>
                    <a:off x="0" y="0"/>
                    <a:ext cx="148784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12A0"/>
    <w:multiLevelType w:val="multilevel"/>
    <w:tmpl w:val="918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C1156"/>
    <w:multiLevelType w:val="multilevel"/>
    <w:tmpl w:val="8DC6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36907"/>
    <w:multiLevelType w:val="multilevel"/>
    <w:tmpl w:val="EC3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22630"/>
    <w:multiLevelType w:val="multilevel"/>
    <w:tmpl w:val="5D28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C6AF4"/>
    <w:multiLevelType w:val="multilevel"/>
    <w:tmpl w:val="D38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668F0"/>
    <w:multiLevelType w:val="multilevel"/>
    <w:tmpl w:val="06D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15D41"/>
    <w:multiLevelType w:val="multilevel"/>
    <w:tmpl w:val="A13C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7182D"/>
    <w:multiLevelType w:val="multilevel"/>
    <w:tmpl w:val="6E94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7537C"/>
    <w:multiLevelType w:val="multilevel"/>
    <w:tmpl w:val="F19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22FAD"/>
    <w:multiLevelType w:val="multilevel"/>
    <w:tmpl w:val="803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983056">
    <w:abstractNumId w:val="0"/>
  </w:num>
  <w:num w:numId="2" w16cid:durableId="1196887035">
    <w:abstractNumId w:val="6"/>
  </w:num>
  <w:num w:numId="3" w16cid:durableId="1431580461">
    <w:abstractNumId w:val="7"/>
  </w:num>
  <w:num w:numId="4" w16cid:durableId="1354041637">
    <w:abstractNumId w:val="1"/>
  </w:num>
  <w:num w:numId="5" w16cid:durableId="1330599782">
    <w:abstractNumId w:val="9"/>
  </w:num>
  <w:num w:numId="6" w16cid:durableId="188953858">
    <w:abstractNumId w:val="3"/>
  </w:num>
  <w:num w:numId="7" w16cid:durableId="509027314">
    <w:abstractNumId w:val="4"/>
  </w:num>
  <w:num w:numId="8" w16cid:durableId="878395098">
    <w:abstractNumId w:val="2"/>
  </w:num>
  <w:num w:numId="9" w16cid:durableId="245041274">
    <w:abstractNumId w:val="8"/>
  </w:num>
  <w:num w:numId="10" w16cid:durableId="984696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DA1NDEwMjIxszBT0lEKTi0uzszPAykwqgUAfwu54SwAAAA="/>
  </w:docVars>
  <w:rsids>
    <w:rsidRoot w:val="00D87188"/>
    <w:rsid w:val="00042B48"/>
    <w:rsid w:val="000A5C65"/>
    <w:rsid w:val="000D0ED1"/>
    <w:rsid w:val="0014485E"/>
    <w:rsid w:val="001A1A03"/>
    <w:rsid w:val="001D3EA1"/>
    <w:rsid w:val="002002F9"/>
    <w:rsid w:val="0032073E"/>
    <w:rsid w:val="003606F2"/>
    <w:rsid w:val="00362BCD"/>
    <w:rsid w:val="00431B1A"/>
    <w:rsid w:val="0043649C"/>
    <w:rsid w:val="004B4223"/>
    <w:rsid w:val="004D2221"/>
    <w:rsid w:val="004F01AB"/>
    <w:rsid w:val="00703BFC"/>
    <w:rsid w:val="0073244D"/>
    <w:rsid w:val="00761310"/>
    <w:rsid w:val="007B235B"/>
    <w:rsid w:val="007D7BBA"/>
    <w:rsid w:val="007F1D61"/>
    <w:rsid w:val="00822669"/>
    <w:rsid w:val="008A3973"/>
    <w:rsid w:val="00904959"/>
    <w:rsid w:val="0091684B"/>
    <w:rsid w:val="00975F6A"/>
    <w:rsid w:val="009B6CFF"/>
    <w:rsid w:val="00A06D12"/>
    <w:rsid w:val="00B54EFE"/>
    <w:rsid w:val="00B573BC"/>
    <w:rsid w:val="00C223A7"/>
    <w:rsid w:val="00C43269"/>
    <w:rsid w:val="00C96084"/>
    <w:rsid w:val="00CA5889"/>
    <w:rsid w:val="00D40423"/>
    <w:rsid w:val="00D87188"/>
    <w:rsid w:val="00DB0412"/>
    <w:rsid w:val="00E61C56"/>
    <w:rsid w:val="00E7084A"/>
    <w:rsid w:val="00EB4EEB"/>
    <w:rsid w:val="00EC7A29"/>
    <w:rsid w:val="00F1488E"/>
    <w:rsid w:val="00F26650"/>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2BE0"/>
  <w15:chartTrackingRefBased/>
  <w15:docId w15:val="{448AC099-D848-4BBA-AC50-1B335277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88"/>
    <w:pPr>
      <w:spacing w:after="160" w:line="278" w:lineRule="auto"/>
    </w:pPr>
    <w:rPr>
      <w:kern w:val="2"/>
      <w14:ligatures w14:val="standardContextual"/>
    </w:rPr>
  </w:style>
  <w:style w:type="paragraph" w:styleId="Heading1">
    <w:name w:val="heading 1"/>
    <w:basedOn w:val="Normal"/>
    <w:next w:val="Normal"/>
    <w:link w:val="Heading1Char"/>
    <w:autoRedefine/>
    <w:uiPriority w:val="9"/>
    <w:qFormat/>
    <w:rsid w:val="0043649C"/>
    <w:pPr>
      <w:keepNext/>
      <w:keepLines/>
      <w:spacing w:before="240" w:after="0" w:line="240" w:lineRule="auto"/>
      <w:outlineLvl w:val="0"/>
    </w:pPr>
    <w:rPr>
      <w:rFonts w:ascii="Verdana" w:eastAsiaTheme="majorEastAsia" w:hAnsi="Verdana" w:cstheme="majorBidi"/>
      <w:b/>
      <w:color w:val="293E71"/>
      <w:kern w:val="0"/>
      <w:sz w:val="32"/>
      <w:szCs w:val="32"/>
      <w14:ligatures w14:val="none"/>
    </w:rPr>
  </w:style>
  <w:style w:type="paragraph" w:styleId="Heading2">
    <w:name w:val="heading 2"/>
    <w:basedOn w:val="Normal"/>
    <w:next w:val="Normal"/>
    <w:link w:val="Heading2Char"/>
    <w:uiPriority w:val="9"/>
    <w:unhideWhenUsed/>
    <w:qFormat/>
    <w:rsid w:val="0043649C"/>
    <w:pPr>
      <w:keepNext/>
      <w:keepLines/>
      <w:spacing w:before="40" w:after="0" w:line="240" w:lineRule="auto"/>
      <w:outlineLvl w:val="1"/>
    </w:pPr>
    <w:rPr>
      <w:rFonts w:ascii="Verdana" w:eastAsiaTheme="majorEastAsia" w:hAnsi="Verdana" w:cstheme="majorBidi"/>
      <w:b/>
      <w:color w:val="293E71"/>
      <w:kern w:val="0"/>
      <w:sz w:val="28"/>
      <w:szCs w:val="26"/>
      <w14:ligatures w14:val="none"/>
    </w:rPr>
  </w:style>
  <w:style w:type="paragraph" w:styleId="Heading3">
    <w:name w:val="heading 3"/>
    <w:basedOn w:val="Normal"/>
    <w:next w:val="Normal"/>
    <w:link w:val="Heading3Char"/>
    <w:autoRedefine/>
    <w:uiPriority w:val="9"/>
    <w:unhideWhenUsed/>
    <w:qFormat/>
    <w:rsid w:val="0043649C"/>
    <w:pPr>
      <w:keepNext/>
      <w:keepLines/>
      <w:spacing w:before="40" w:after="0" w:line="240" w:lineRule="auto"/>
      <w:outlineLvl w:val="2"/>
    </w:pPr>
    <w:rPr>
      <w:rFonts w:ascii="Verdana" w:eastAsiaTheme="majorEastAsia" w:hAnsi="Verdana" w:cstheme="majorBidi"/>
      <w:b/>
      <w:color w:val="1F3763" w:themeColor="accent1" w:themeShade="7F"/>
      <w:kern w:val="0"/>
      <w:sz w:val="26"/>
      <w14:ligatures w14:val="none"/>
    </w:rPr>
  </w:style>
  <w:style w:type="paragraph" w:styleId="Heading4">
    <w:name w:val="heading 4"/>
    <w:basedOn w:val="Normal"/>
    <w:next w:val="Normal"/>
    <w:link w:val="Heading4Char"/>
    <w:uiPriority w:val="9"/>
    <w:unhideWhenUsed/>
    <w:qFormat/>
    <w:rsid w:val="0043649C"/>
    <w:pPr>
      <w:keepNext/>
      <w:keepLines/>
      <w:spacing w:before="40" w:after="0" w:line="240" w:lineRule="auto"/>
      <w:outlineLvl w:val="3"/>
    </w:pPr>
    <w:rPr>
      <w:rFonts w:ascii="Verdana" w:eastAsiaTheme="majorEastAsia" w:hAnsi="Verdana" w:cstheme="majorBidi"/>
      <w:b/>
      <w:iCs/>
      <w:color w:val="2F5496" w:themeColor="accent1" w:themeShade="BF"/>
      <w:kern w:val="0"/>
      <w14:ligatures w14:val="none"/>
    </w:rPr>
  </w:style>
  <w:style w:type="paragraph" w:styleId="Heading5">
    <w:name w:val="heading 5"/>
    <w:basedOn w:val="Normal"/>
    <w:next w:val="Normal"/>
    <w:link w:val="Heading5Char"/>
    <w:uiPriority w:val="9"/>
    <w:unhideWhenUsed/>
    <w:qFormat/>
    <w:rsid w:val="0043649C"/>
    <w:pPr>
      <w:keepNext/>
      <w:keepLines/>
      <w:spacing w:before="40" w:after="0" w:line="240" w:lineRule="auto"/>
      <w:outlineLvl w:val="4"/>
    </w:pPr>
    <w:rPr>
      <w:rFonts w:asciiTheme="majorHAnsi" w:eastAsiaTheme="majorEastAsia" w:hAnsiTheme="majorHAnsi" w:cstheme="majorBidi"/>
      <w:color w:val="293E71"/>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9C"/>
    <w:rPr>
      <w:rFonts w:ascii="Verdana" w:eastAsiaTheme="majorEastAsia" w:hAnsi="Verdana" w:cstheme="majorBidi"/>
      <w:b/>
      <w:color w:val="293E71"/>
      <w:sz w:val="32"/>
      <w:szCs w:val="32"/>
    </w:rPr>
  </w:style>
  <w:style w:type="character" w:customStyle="1" w:styleId="Heading3Char">
    <w:name w:val="Heading 3 Char"/>
    <w:basedOn w:val="DefaultParagraphFont"/>
    <w:link w:val="Heading3"/>
    <w:uiPriority w:val="9"/>
    <w:rsid w:val="0043649C"/>
    <w:rPr>
      <w:rFonts w:ascii="Verdana" w:eastAsiaTheme="majorEastAsia" w:hAnsi="Verdana" w:cstheme="majorBidi"/>
      <w:b/>
      <w:color w:val="1F3763" w:themeColor="accent1" w:themeShade="7F"/>
      <w:sz w:val="26"/>
    </w:rPr>
  </w:style>
  <w:style w:type="paragraph" w:customStyle="1" w:styleId="Style1">
    <w:name w:val="Style1"/>
    <w:basedOn w:val="Normal"/>
    <w:autoRedefine/>
    <w:qFormat/>
    <w:rsid w:val="00E7084A"/>
    <w:pPr>
      <w:widowControl w:val="0"/>
      <w:spacing w:after="0" w:line="240" w:lineRule="auto"/>
    </w:pPr>
    <w:rPr>
      <w:rFonts w:ascii="Arial" w:eastAsia="Batang" w:hAnsi="Arial" w:cs="Times New Roman"/>
      <w:kern w:val="0"/>
      <w:szCs w:val="20"/>
      <w14:ligatures w14:val="none"/>
    </w:rPr>
  </w:style>
  <w:style w:type="paragraph" w:customStyle="1" w:styleId="WinTech">
    <w:name w:val="WinTech"/>
    <w:basedOn w:val="Normal"/>
    <w:autoRedefine/>
    <w:qFormat/>
    <w:rsid w:val="00761310"/>
    <w:pPr>
      <w:spacing w:after="0" w:line="240" w:lineRule="auto"/>
    </w:pPr>
    <w:rPr>
      <w:rFonts w:ascii="Arial Narrow" w:hAnsi="Arial Narrow"/>
      <w:kern w:val="0"/>
      <w14:ligatures w14:val="none"/>
    </w:rPr>
  </w:style>
  <w:style w:type="paragraph" w:customStyle="1" w:styleId="Style2">
    <w:name w:val="Style2"/>
    <w:basedOn w:val="Normal"/>
    <w:qFormat/>
    <w:rsid w:val="007F1D61"/>
    <w:pPr>
      <w:suppressAutoHyphens/>
      <w:spacing w:before="40" w:after="40" w:line="240" w:lineRule="auto"/>
      <w:jc w:val="center"/>
    </w:pPr>
    <w:rPr>
      <w:rFonts w:ascii="Arial" w:eastAsia="Times New Roman" w:hAnsi="Arial" w:cs="Arial"/>
      <w:b/>
      <w:color w:val="FFFFFF" w:themeColor="background1"/>
      <w:kern w:val="0"/>
      <w:sz w:val="16"/>
      <w:szCs w:val="20"/>
      <w14:ligatures w14:val="none"/>
    </w:rPr>
  </w:style>
  <w:style w:type="paragraph" w:styleId="BalloonText">
    <w:name w:val="Balloon Text"/>
    <w:basedOn w:val="Normal"/>
    <w:link w:val="BalloonTextChar"/>
    <w:uiPriority w:val="99"/>
    <w:semiHidden/>
    <w:unhideWhenUsed/>
    <w:rsid w:val="00C223A7"/>
    <w:rPr>
      <w:rFonts w:cs="Times New Roman"/>
      <w:sz w:val="18"/>
      <w:szCs w:val="18"/>
    </w:rPr>
  </w:style>
  <w:style w:type="character" w:customStyle="1" w:styleId="BalloonTextChar">
    <w:name w:val="Balloon Text Char"/>
    <w:basedOn w:val="DefaultParagraphFont"/>
    <w:link w:val="BalloonText"/>
    <w:uiPriority w:val="99"/>
    <w:semiHidden/>
    <w:rsid w:val="00C223A7"/>
    <w:rPr>
      <w:rFonts w:ascii="Times New Roman" w:hAnsi="Times New Roman" w:cs="Times New Roman"/>
      <w:sz w:val="18"/>
      <w:szCs w:val="18"/>
    </w:rPr>
  </w:style>
  <w:style w:type="paragraph" w:styleId="Header">
    <w:name w:val="header"/>
    <w:basedOn w:val="Normal"/>
    <w:link w:val="HeaderChar"/>
    <w:uiPriority w:val="99"/>
    <w:unhideWhenUsed/>
    <w:rsid w:val="00C223A7"/>
    <w:pPr>
      <w:tabs>
        <w:tab w:val="center" w:pos="4680"/>
        <w:tab w:val="right" w:pos="9360"/>
      </w:tabs>
      <w:spacing w:after="0" w:line="240" w:lineRule="auto"/>
    </w:pPr>
    <w:rPr>
      <w:rFonts w:ascii="Arial" w:hAnsi="Arial"/>
      <w:kern w:val="0"/>
      <w14:ligatures w14:val="none"/>
    </w:rPr>
  </w:style>
  <w:style w:type="character" w:customStyle="1" w:styleId="HeaderChar">
    <w:name w:val="Header Char"/>
    <w:basedOn w:val="DefaultParagraphFont"/>
    <w:link w:val="Header"/>
    <w:uiPriority w:val="99"/>
    <w:rsid w:val="00C223A7"/>
    <w:rPr>
      <w:rFonts w:ascii="Times New Roman" w:hAnsi="Times New Roman"/>
    </w:rPr>
  </w:style>
  <w:style w:type="paragraph" w:styleId="Footer">
    <w:name w:val="footer"/>
    <w:basedOn w:val="Normal"/>
    <w:link w:val="FooterChar"/>
    <w:uiPriority w:val="99"/>
    <w:unhideWhenUsed/>
    <w:rsid w:val="00C223A7"/>
    <w:pPr>
      <w:tabs>
        <w:tab w:val="center" w:pos="4680"/>
        <w:tab w:val="right" w:pos="9360"/>
      </w:tabs>
      <w:spacing w:after="0" w:line="240" w:lineRule="auto"/>
    </w:pPr>
    <w:rPr>
      <w:rFonts w:ascii="Arial" w:hAnsi="Arial"/>
      <w:kern w:val="0"/>
      <w14:ligatures w14:val="none"/>
    </w:rPr>
  </w:style>
  <w:style w:type="character" w:customStyle="1" w:styleId="FooterChar">
    <w:name w:val="Footer Char"/>
    <w:basedOn w:val="DefaultParagraphFont"/>
    <w:link w:val="Footer"/>
    <w:uiPriority w:val="99"/>
    <w:rsid w:val="00C223A7"/>
    <w:rPr>
      <w:rFonts w:ascii="Times New Roman" w:hAnsi="Times New Roman"/>
    </w:rPr>
  </w:style>
  <w:style w:type="character" w:customStyle="1" w:styleId="Heading2Char">
    <w:name w:val="Heading 2 Char"/>
    <w:basedOn w:val="DefaultParagraphFont"/>
    <w:link w:val="Heading2"/>
    <w:uiPriority w:val="9"/>
    <w:rsid w:val="0043649C"/>
    <w:rPr>
      <w:rFonts w:ascii="Verdana" w:eastAsiaTheme="majorEastAsia" w:hAnsi="Verdana" w:cstheme="majorBidi"/>
      <w:b/>
      <w:color w:val="293E71"/>
      <w:sz w:val="28"/>
      <w:szCs w:val="26"/>
    </w:rPr>
  </w:style>
  <w:style w:type="character" w:customStyle="1" w:styleId="Heading4Char">
    <w:name w:val="Heading 4 Char"/>
    <w:basedOn w:val="DefaultParagraphFont"/>
    <w:link w:val="Heading4"/>
    <w:uiPriority w:val="9"/>
    <w:rsid w:val="0043649C"/>
    <w:rPr>
      <w:rFonts w:ascii="Verdana" w:eastAsiaTheme="majorEastAsia" w:hAnsi="Verdana" w:cstheme="majorBidi"/>
      <w:b/>
      <w:iCs/>
      <w:color w:val="2F5496" w:themeColor="accent1" w:themeShade="BF"/>
    </w:rPr>
  </w:style>
  <w:style w:type="character" w:customStyle="1" w:styleId="Heading5Char">
    <w:name w:val="Heading 5 Char"/>
    <w:basedOn w:val="DefaultParagraphFont"/>
    <w:link w:val="Heading5"/>
    <w:uiPriority w:val="9"/>
    <w:rsid w:val="0043649C"/>
    <w:rPr>
      <w:rFonts w:asciiTheme="majorHAnsi" w:eastAsiaTheme="majorEastAsia" w:hAnsiTheme="majorHAnsi" w:cstheme="majorBidi"/>
      <w:color w:val="293E71"/>
    </w:rPr>
  </w:style>
  <w:style w:type="paragraph" w:styleId="Title">
    <w:name w:val="Title"/>
    <w:basedOn w:val="Normal"/>
    <w:next w:val="Normal"/>
    <w:link w:val="TitleChar"/>
    <w:uiPriority w:val="10"/>
    <w:qFormat/>
    <w:rsid w:val="0043649C"/>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43649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62BCD"/>
    <w:rPr>
      <w:color w:val="0563C1" w:themeColor="hyperlink"/>
      <w:u w:val="single"/>
    </w:rPr>
  </w:style>
  <w:style w:type="character" w:styleId="UnresolvedMention">
    <w:name w:val="Unresolved Mention"/>
    <w:basedOn w:val="DefaultParagraphFont"/>
    <w:uiPriority w:val="99"/>
    <w:semiHidden/>
    <w:unhideWhenUsed/>
    <w:rsid w:val="0036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01888">
      <w:bodyDiv w:val="1"/>
      <w:marLeft w:val="0"/>
      <w:marRight w:val="0"/>
      <w:marTop w:val="0"/>
      <w:marBottom w:val="0"/>
      <w:divBdr>
        <w:top w:val="none" w:sz="0" w:space="0" w:color="auto"/>
        <w:left w:val="none" w:sz="0" w:space="0" w:color="auto"/>
        <w:bottom w:val="none" w:sz="0" w:space="0" w:color="auto"/>
        <w:right w:val="none" w:sz="0" w:space="0" w:color="auto"/>
      </w:divBdr>
      <w:divsChild>
        <w:div w:id="1007102640">
          <w:marLeft w:val="0"/>
          <w:marRight w:val="0"/>
          <w:marTop w:val="0"/>
          <w:marBottom w:val="0"/>
          <w:divBdr>
            <w:top w:val="none" w:sz="0" w:space="0" w:color="auto"/>
            <w:left w:val="none" w:sz="0" w:space="0" w:color="auto"/>
            <w:bottom w:val="none" w:sz="0" w:space="0" w:color="auto"/>
            <w:right w:val="none" w:sz="0" w:space="0" w:color="auto"/>
          </w:divBdr>
          <w:divsChild>
            <w:div w:id="21351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ice%20Hill\Dropbox\WinTech%20Internal%20Business%20Files\WinTech%20Templates%20&amp;%20Logos\New%20WinTech%20New%202018%20Logo\WinTec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WinTech LetterHead</Template>
  <TotalTime>5</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Winston Technologies LLC.</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Hill</dc:creator>
  <cp:keywords/>
  <dc:description/>
  <cp:lastModifiedBy>Maurice Hill</cp:lastModifiedBy>
  <cp:revision>7</cp:revision>
  <dcterms:created xsi:type="dcterms:W3CDTF">2025-05-29T18:04:00Z</dcterms:created>
  <dcterms:modified xsi:type="dcterms:W3CDTF">2025-05-29T18:07:00Z</dcterms:modified>
</cp:coreProperties>
</file>