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400E5" w14:textId="77777777" w:rsidR="00B36D6B" w:rsidRPr="00E15716" w:rsidRDefault="00B36D6B" w:rsidP="00B36D6B">
      <w:pPr>
        <w:spacing w:before="2400"/>
        <w:jc w:val="center"/>
        <w:rPr>
          <w:b/>
          <w:bCs/>
          <w:color w:val="1F3864"/>
          <w:sz w:val="48"/>
          <w:szCs w:val="48"/>
        </w:rPr>
      </w:pPr>
      <w:r w:rsidRPr="00E15716">
        <w:rPr>
          <w:b/>
          <w:bCs/>
          <w:color w:val="1F3864"/>
          <w:sz w:val="48"/>
          <w:szCs w:val="48"/>
        </w:rPr>
        <w:t>Capability Statements</w:t>
      </w:r>
    </w:p>
    <w:p w14:paraId="5A4DDCA8" w14:textId="0BA8A2E6" w:rsidR="00251525" w:rsidRPr="00E15716" w:rsidRDefault="00B36D6B" w:rsidP="00E17C6C">
      <w:pPr>
        <w:spacing w:before="2400"/>
        <w:jc w:val="center"/>
        <w:rPr>
          <w:i/>
          <w:iCs/>
          <w:color w:val="2E75B6"/>
          <w:sz w:val="36"/>
          <w:szCs w:val="36"/>
        </w:rPr>
      </w:pPr>
      <w:r w:rsidRPr="00E15716">
        <w:rPr>
          <w:i/>
          <w:iCs/>
          <w:color w:val="2E75B6"/>
          <w:sz w:val="36"/>
          <w:szCs w:val="36"/>
        </w:rPr>
        <w:t>What you need to know about</w:t>
      </w:r>
      <w:r w:rsidR="0002507F" w:rsidRPr="00E15716">
        <w:rPr>
          <w:i/>
          <w:iCs/>
          <w:color w:val="2E75B6"/>
          <w:sz w:val="36"/>
          <w:szCs w:val="36"/>
        </w:rPr>
        <w:t xml:space="preserve"> them.</w:t>
      </w:r>
    </w:p>
    <w:p w14:paraId="78170BF8" w14:textId="77777777" w:rsidR="00251525" w:rsidRPr="00E17C6C" w:rsidRDefault="00251525" w:rsidP="00957928">
      <w:pPr>
        <w:spacing w:before="360"/>
        <w:jc w:val="center"/>
        <w:rPr>
          <w:i/>
          <w:iCs/>
          <w:color w:val="2E75B6"/>
          <w:sz w:val="24"/>
          <w:szCs w:val="24"/>
        </w:rPr>
      </w:pPr>
    </w:p>
    <w:p w14:paraId="798DD74A" w14:textId="77777777" w:rsidR="00E17C6C" w:rsidRPr="00E17C6C" w:rsidRDefault="00E17C6C" w:rsidP="0002507F">
      <w:pPr>
        <w:rPr>
          <w:rFonts w:eastAsia="Times New Roman"/>
          <w:sz w:val="24"/>
          <w:szCs w:val="24"/>
        </w:rPr>
      </w:pPr>
    </w:p>
    <w:p w14:paraId="17EE80C2" w14:textId="77777777" w:rsidR="00E17C6C" w:rsidRPr="00E17C6C" w:rsidRDefault="00E17C6C" w:rsidP="0002507F">
      <w:pPr>
        <w:rPr>
          <w:rFonts w:eastAsia="Times New Roman"/>
          <w:sz w:val="24"/>
          <w:szCs w:val="24"/>
        </w:rPr>
      </w:pPr>
    </w:p>
    <w:p w14:paraId="0190CA34" w14:textId="51893621" w:rsidR="0002507F" w:rsidRPr="00E15716" w:rsidRDefault="0002507F" w:rsidP="0002507F">
      <w:pPr>
        <w:rPr>
          <w:b/>
          <w:bCs/>
          <w:sz w:val="28"/>
          <w:szCs w:val="28"/>
        </w:rPr>
      </w:pPr>
      <w:r w:rsidRPr="00E15716">
        <w:rPr>
          <w:rFonts w:eastAsia="Times New Roman"/>
          <w:sz w:val="28"/>
          <w:szCs w:val="28"/>
        </w:rPr>
        <w:t xml:space="preserve">Most companies lose the government’s attention before the buyer ever gets to their past performance. Why? Because they send the wrong capability statement for the </w:t>
      </w:r>
      <w:r w:rsidRPr="00E15716">
        <w:rPr>
          <w:sz w:val="28"/>
          <w:szCs w:val="28"/>
        </w:rPr>
        <w:t>opportunity.</w:t>
      </w:r>
    </w:p>
    <w:p w14:paraId="09E1593F" w14:textId="77777777" w:rsidR="00E15716" w:rsidRDefault="00E15716" w:rsidP="00957928">
      <w:pPr>
        <w:spacing w:before="600" w:after="60"/>
        <w:jc w:val="center"/>
        <w:rPr>
          <w:color w:val="666666"/>
          <w:sz w:val="24"/>
          <w:szCs w:val="24"/>
        </w:rPr>
      </w:pPr>
    </w:p>
    <w:p w14:paraId="6EAD7269" w14:textId="457DE5B0" w:rsidR="00251525" w:rsidRPr="00E17C6C" w:rsidRDefault="00E17C6C" w:rsidP="00957928">
      <w:pPr>
        <w:spacing w:before="600" w:after="60"/>
        <w:jc w:val="center"/>
        <w:rPr>
          <w:color w:val="666666"/>
          <w:sz w:val="24"/>
          <w:szCs w:val="24"/>
        </w:rPr>
      </w:pPr>
      <w:r w:rsidRPr="00E17C6C">
        <w:rPr>
          <w:color w:val="666666"/>
          <w:sz w:val="24"/>
          <w:szCs w:val="24"/>
        </w:rPr>
        <w:t>E</w:t>
      </w:r>
      <w:r w:rsidR="00251525" w:rsidRPr="00E17C6C">
        <w:rPr>
          <w:color w:val="666666"/>
          <w:sz w:val="24"/>
          <w:szCs w:val="24"/>
        </w:rPr>
        <w:t>dition 1 — 2026</w:t>
      </w:r>
    </w:p>
    <w:p w14:paraId="0F0B05C2" w14:textId="77777777" w:rsidR="00251525" w:rsidRPr="00E17C6C" w:rsidRDefault="00251525">
      <w:pPr>
        <w:rPr>
          <w:sz w:val="24"/>
          <w:szCs w:val="24"/>
        </w:rPr>
      </w:pPr>
      <w:r w:rsidRPr="00E17C6C">
        <w:rPr>
          <w:sz w:val="24"/>
          <w:szCs w:val="24"/>
        </w:rPr>
        <w:br w:type="page"/>
      </w:r>
    </w:p>
    <w:p w14:paraId="34E88E43" w14:textId="77777777" w:rsidR="00251525" w:rsidRPr="00E17C6C" w:rsidRDefault="00251525" w:rsidP="00A32F7C">
      <w:pPr>
        <w:pStyle w:val="Strong1"/>
        <w:rPr>
          <w:sz w:val="24"/>
          <w:szCs w:val="24"/>
        </w:rPr>
      </w:pPr>
    </w:p>
    <w:p w14:paraId="1F69489A" w14:textId="77777777" w:rsidR="00E17C6C" w:rsidRPr="00E17C6C" w:rsidRDefault="00E17C6C" w:rsidP="00E17C6C">
      <w:pPr>
        <w:rPr>
          <w:rFonts w:eastAsia="Times New Roman"/>
          <w:b/>
          <w:bCs/>
          <w:sz w:val="24"/>
          <w:szCs w:val="24"/>
        </w:rPr>
      </w:pPr>
      <w:r w:rsidRPr="00E17C6C">
        <w:rPr>
          <w:rFonts w:eastAsia="Times New Roman"/>
          <w:b/>
          <w:bCs/>
          <w:sz w:val="24"/>
          <w:szCs w:val="24"/>
        </w:rPr>
        <w:t>Capability Statements:</w:t>
      </w:r>
    </w:p>
    <w:p w14:paraId="4A1C7279" w14:textId="77777777" w:rsidR="00E17C6C" w:rsidRDefault="00E17C6C" w:rsidP="00E17C6C">
      <w:pPr>
        <w:rPr>
          <w:rFonts w:eastAsia="Times New Roman"/>
          <w:sz w:val="24"/>
          <w:szCs w:val="24"/>
        </w:rPr>
      </w:pPr>
    </w:p>
    <w:p w14:paraId="2512FEC9" w14:textId="57614838" w:rsidR="00E17C6C" w:rsidRPr="00E17C6C" w:rsidRDefault="00E17C6C" w:rsidP="00E17C6C">
      <w:pPr>
        <w:rPr>
          <w:b/>
          <w:bCs/>
          <w:sz w:val="24"/>
          <w:szCs w:val="24"/>
        </w:rPr>
      </w:pPr>
      <w:r w:rsidRPr="00E17C6C">
        <w:rPr>
          <w:rFonts w:eastAsia="Times New Roman"/>
          <w:sz w:val="24"/>
          <w:szCs w:val="24"/>
        </w:rPr>
        <w:t xml:space="preserve">Most companies lose the government’s attention before the buyer ever gets to their past performance. Why? Because they send the wrong capability statement for the </w:t>
      </w:r>
      <w:r w:rsidRPr="00E17C6C">
        <w:rPr>
          <w:sz w:val="24"/>
          <w:szCs w:val="24"/>
        </w:rPr>
        <w:t>opportunity.</w:t>
      </w:r>
    </w:p>
    <w:p w14:paraId="5FDD70BD" w14:textId="77777777" w:rsidR="00E15716" w:rsidRDefault="00E15716" w:rsidP="00E17C6C">
      <w:pPr>
        <w:rPr>
          <w:rFonts w:eastAsia="Times New Roman"/>
          <w:sz w:val="24"/>
          <w:szCs w:val="24"/>
        </w:rPr>
      </w:pPr>
    </w:p>
    <w:p w14:paraId="64C51964" w14:textId="41652230" w:rsidR="00E17C6C" w:rsidRPr="00E17C6C" w:rsidRDefault="00E17C6C" w:rsidP="00E17C6C">
      <w:pPr>
        <w:rPr>
          <w:rFonts w:eastAsia="Times New Roman"/>
          <w:sz w:val="24"/>
          <w:szCs w:val="24"/>
        </w:rPr>
      </w:pPr>
      <w:r w:rsidRPr="00E17C6C">
        <w:rPr>
          <w:rFonts w:eastAsia="Times New Roman"/>
          <w:sz w:val="24"/>
          <w:szCs w:val="24"/>
        </w:rPr>
        <w:t xml:space="preserve">A capability statement is not just a company brochure; it is a sales document with a purpose. In GovCon, the version you use should depend on the conversation you are trying to have. If you are responding to </w:t>
      </w:r>
      <w:proofErr w:type="gramStart"/>
      <w:r w:rsidRPr="00E17C6C">
        <w:rPr>
          <w:rFonts w:eastAsia="Times New Roman"/>
          <w:sz w:val="24"/>
          <w:szCs w:val="24"/>
        </w:rPr>
        <w:t>an RFP</w:t>
      </w:r>
      <w:proofErr w:type="gramEnd"/>
      <w:r w:rsidRPr="00E17C6C">
        <w:rPr>
          <w:rFonts w:eastAsia="Times New Roman"/>
          <w:sz w:val="24"/>
          <w:szCs w:val="24"/>
        </w:rPr>
        <w:t>, you are answering specific solicitation requirements. If you are responding to an RFI or Sources Sought notice, your statement of capability should directly address the government’s market research questions. That means the document you send to an agency should not simply be the generic version posted on your website. It should be tailored, focused, and written to show that you understand the requirement and can credibly support the mission.</w:t>
      </w:r>
    </w:p>
    <w:p w14:paraId="056FC362" w14:textId="77777777" w:rsidR="00E17C6C" w:rsidRPr="00E17C6C" w:rsidRDefault="00E17C6C" w:rsidP="00E17C6C">
      <w:pPr>
        <w:rPr>
          <w:rFonts w:eastAsia="Times New Roman"/>
          <w:sz w:val="24"/>
          <w:szCs w:val="24"/>
        </w:rPr>
      </w:pPr>
    </w:p>
    <w:p w14:paraId="786C1041" w14:textId="77777777" w:rsidR="00E17C6C" w:rsidRPr="00E17C6C" w:rsidRDefault="00E17C6C" w:rsidP="00E17C6C">
      <w:pPr>
        <w:rPr>
          <w:b/>
          <w:bCs/>
          <w:sz w:val="24"/>
          <w:szCs w:val="24"/>
        </w:rPr>
      </w:pPr>
      <w:r w:rsidRPr="00E17C6C">
        <w:rPr>
          <w:b/>
          <w:bCs/>
          <w:sz w:val="24"/>
          <w:szCs w:val="24"/>
        </w:rPr>
        <w:t xml:space="preserve">Types of GovCon Capability Statements: </w:t>
      </w:r>
    </w:p>
    <w:p w14:paraId="697CC5E4" w14:textId="77777777" w:rsidR="00E15716" w:rsidRDefault="00E15716" w:rsidP="00E17C6C">
      <w:pPr>
        <w:rPr>
          <w:rFonts w:eastAsia="Times New Roman"/>
          <w:sz w:val="24"/>
          <w:szCs w:val="24"/>
        </w:rPr>
      </w:pPr>
    </w:p>
    <w:p w14:paraId="64B88246" w14:textId="4D3AF2AD" w:rsidR="00E17C6C" w:rsidRPr="00E17C6C" w:rsidRDefault="00E17C6C" w:rsidP="00E17C6C">
      <w:pPr>
        <w:rPr>
          <w:b/>
          <w:bCs/>
          <w:sz w:val="24"/>
          <w:szCs w:val="24"/>
        </w:rPr>
      </w:pPr>
      <w:r w:rsidRPr="00E17C6C">
        <w:rPr>
          <w:rFonts w:eastAsia="Times New Roman"/>
          <w:sz w:val="24"/>
          <w:szCs w:val="24"/>
        </w:rPr>
        <w:t xml:space="preserve">There are several </w:t>
      </w:r>
      <w:r w:rsidRPr="00E17C6C">
        <w:rPr>
          <w:rFonts w:eastAsia="Times New Roman"/>
          <w:b/>
          <w:bCs/>
          <w:sz w:val="24"/>
          <w:szCs w:val="24"/>
        </w:rPr>
        <w:t>types of GovCon capability statements</w:t>
      </w:r>
      <w:r w:rsidRPr="00E17C6C">
        <w:rPr>
          <w:rFonts w:eastAsia="Times New Roman"/>
          <w:sz w:val="24"/>
          <w:szCs w:val="24"/>
        </w:rPr>
        <w:t>, and the right one depends on the audience and purpose. The most common types are:</w:t>
      </w:r>
    </w:p>
    <w:p w14:paraId="156AB097" w14:textId="77777777" w:rsidR="00E17C6C" w:rsidRPr="00E17C6C" w:rsidRDefault="00E17C6C" w:rsidP="00E17C6C">
      <w:pPr>
        <w:pStyle w:val="ListParagraph"/>
        <w:numPr>
          <w:ilvl w:val="0"/>
          <w:numId w:val="4"/>
        </w:numPr>
        <w:spacing w:after="160" w:line="278" w:lineRule="auto"/>
        <w:contextualSpacing/>
        <w:rPr>
          <w:b/>
          <w:bCs/>
          <w:sz w:val="24"/>
          <w:szCs w:val="24"/>
        </w:rPr>
      </w:pPr>
      <w:r w:rsidRPr="00E17C6C">
        <w:rPr>
          <w:rFonts w:eastAsia="Times New Roman"/>
          <w:b/>
          <w:bCs/>
          <w:sz w:val="24"/>
          <w:szCs w:val="24"/>
        </w:rPr>
        <w:t>General / Corporate Capability Statement</w:t>
      </w:r>
      <w:r w:rsidRPr="00E17C6C">
        <w:rPr>
          <w:rFonts w:eastAsia="Times New Roman"/>
          <w:sz w:val="24"/>
          <w:szCs w:val="24"/>
        </w:rPr>
        <w:br/>
        <w:t>A broad, one- or two-page overview of the company’s core competencies, past performance, differentiators, contract vehicles, certifications, NAICS codes, and contact information. This is often used for introductions, networking, and website downloads.</w:t>
      </w:r>
    </w:p>
    <w:p w14:paraId="39055FAE" w14:textId="77777777" w:rsidR="00E17C6C" w:rsidRPr="00E17C6C" w:rsidRDefault="00E17C6C" w:rsidP="00E17C6C">
      <w:pPr>
        <w:pStyle w:val="ListParagraph"/>
        <w:numPr>
          <w:ilvl w:val="0"/>
          <w:numId w:val="4"/>
        </w:numPr>
        <w:spacing w:after="160" w:line="278" w:lineRule="auto"/>
        <w:contextualSpacing/>
        <w:rPr>
          <w:b/>
          <w:bCs/>
          <w:sz w:val="24"/>
          <w:szCs w:val="24"/>
        </w:rPr>
      </w:pPr>
      <w:r w:rsidRPr="00E17C6C">
        <w:rPr>
          <w:rFonts w:eastAsia="Times New Roman"/>
          <w:b/>
          <w:bCs/>
          <w:sz w:val="24"/>
          <w:szCs w:val="24"/>
        </w:rPr>
        <w:t>Agency-Specific Capability Statement</w:t>
      </w:r>
      <w:r w:rsidRPr="00E17C6C">
        <w:rPr>
          <w:rFonts w:eastAsia="Times New Roman"/>
          <w:sz w:val="24"/>
          <w:szCs w:val="24"/>
        </w:rPr>
        <w:br/>
        <w:t>Tailored to a specific federal agency, bureau, or office. It highlights capabilities, past performance, terminology, mission alignment, and contract experience most relevant to that agency.</w:t>
      </w:r>
    </w:p>
    <w:p w14:paraId="1E347359" w14:textId="77777777" w:rsidR="00E17C6C" w:rsidRPr="00E17C6C" w:rsidRDefault="00E17C6C" w:rsidP="00E17C6C">
      <w:pPr>
        <w:pStyle w:val="ListParagraph"/>
        <w:numPr>
          <w:ilvl w:val="0"/>
          <w:numId w:val="4"/>
        </w:numPr>
        <w:spacing w:after="160" w:line="278" w:lineRule="auto"/>
        <w:contextualSpacing/>
        <w:rPr>
          <w:b/>
          <w:bCs/>
          <w:sz w:val="24"/>
          <w:szCs w:val="24"/>
        </w:rPr>
      </w:pPr>
      <w:r w:rsidRPr="00E17C6C">
        <w:rPr>
          <w:rFonts w:eastAsia="Times New Roman"/>
          <w:b/>
          <w:bCs/>
          <w:sz w:val="24"/>
          <w:szCs w:val="24"/>
        </w:rPr>
        <w:t>Opportunity-Specific Capability Statement</w:t>
      </w:r>
      <w:r w:rsidRPr="00E17C6C">
        <w:rPr>
          <w:rFonts w:eastAsia="Times New Roman"/>
          <w:sz w:val="24"/>
          <w:szCs w:val="24"/>
        </w:rPr>
        <w:br/>
        <w:t>Created for a particular RFI, Sources Sought Notice, market research request, or upcoming procurement. This should directly answer the government’s stated questions and demonstrate relevant experience for that requirement.</w:t>
      </w:r>
    </w:p>
    <w:p w14:paraId="5D39EEB4" w14:textId="77777777" w:rsidR="00E17C6C" w:rsidRPr="00E17C6C" w:rsidRDefault="00E17C6C" w:rsidP="00E17C6C">
      <w:pPr>
        <w:pStyle w:val="ListParagraph"/>
        <w:numPr>
          <w:ilvl w:val="0"/>
          <w:numId w:val="4"/>
        </w:numPr>
        <w:spacing w:after="160" w:line="278" w:lineRule="auto"/>
        <w:contextualSpacing/>
        <w:rPr>
          <w:b/>
          <w:bCs/>
          <w:sz w:val="24"/>
          <w:szCs w:val="24"/>
        </w:rPr>
      </w:pPr>
      <w:r w:rsidRPr="00E17C6C">
        <w:rPr>
          <w:rFonts w:eastAsia="Times New Roman"/>
          <w:b/>
          <w:bCs/>
          <w:sz w:val="24"/>
          <w:szCs w:val="24"/>
        </w:rPr>
        <w:t>Prime Contractor / Teaming Capability Statement</w:t>
      </w:r>
      <w:r w:rsidRPr="00E17C6C">
        <w:rPr>
          <w:rFonts w:eastAsia="Times New Roman"/>
          <w:sz w:val="24"/>
          <w:szCs w:val="24"/>
        </w:rPr>
        <w:br/>
        <w:t>Written for large prime contractors or potential teaming partners. It emphasizes subcontracting value, niche expertise, socioeconomic status, cleared personnel, geographic reach, delivery record, and how the company reduces risk for the prime.</w:t>
      </w:r>
    </w:p>
    <w:p w14:paraId="12875346" w14:textId="77777777" w:rsidR="00E17C6C" w:rsidRPr="00E17C6C" w:rsidRDefault="00E17C6C" w:rsidP="00E17C6C">
      <w:pPr>
        <w:pStyle w:val="ListParagraph"/>
        <w:numPr>
          <w:ilvl w:val="0"/>
          <w:numId w:val="4"/>
        </w:numPr>
        <w:spacing w:after="160" w:line="278" w:lineRule="auto"/>
        <w:contextualSpacing/>
        <w:rPr>
          <w:b/>
          <w:bCs/>
          <w:sz w:val="24"/>
          <w:szCs w:val="24"/>
        </w:rPr>
      </w:pPr>
      <w:r w:rsidRPr="00E17C6C">
        <w:rPr>
          <w:rFonts w:eastAsia="Times New Roman"/>
          <w:b/>
          <w:bCs/>
          <w:sz w:val="24"/>
          <w:szCs w:val="24"/>
        </w:rPr>
        <w:t>Socioeconomic / Set-Aside Capability Statement</w:t>
      </w:r>
      <w:r w:rsidRPr="00E17C6C">
        <w:rPr>
          <w:rFonts w:eastAsia="Times New Roman"/>
          <w:sz w:val="24"/>
          <w:szCs w:val="24"/>
        </w:rPr>
        <w:br/>
        <w:t>Focused on eligibility for programs such as SDVOSB, WOSB, HUBZone, 8(a), SDB, or other set-aside categories. It should still lead with capability, not just certification.</w:t>
      </w:r>
    </w:p>
    <w:p w14:paraId="6C925CC6" w14:textId="77777777" w:rsidR="00E17C6C" w:rsidRPr="00E17C6C" w:rsidRDefault="00E17C6C" w:rsidP="00E17C6C">
      <w:pPr>
        <w:pStyle w:val="ListParagraph"/>
        <w:numPr>
          <w:ilvl w:val="0"/>
          <w:numId w:val="4"/>
        </w:numPr>
        <w:spacing w:after="160" w:line="278" w:lineRule="auto"/>
        <w:contextualSpacing/>
        <w:rPr>
          <w:b/>
          <w:bCs/>
          <w:sz w:val="24"/>
          <w:szCs w:val="24"/>
        </w:rPr>
      </w:pPr>
      <w:r w:rsidRPr="00E17C6C">
        <w:rPr>
          <w:rFonts w:eastAsia="Times New Roman"/>
          <w:b/>
          <w:bCs/>
          <w:sz w:val="24"/>
          <w:szCs w:val="24"/>
        </w:rPr>
        <w:lastRenderedPageBreak/>
        <w:t>Technology- or Service-Line Capability Statement</w:t>
      </w:r>
      <w:r w:rsidRPr="00E17C6C">
        <w:rPr>
          <w:rFonts w:eastAsia="Times New Roman"/>
          <w:sz w:val="24"/>
          <w:szCs w:val="24"/>
        </w:rPr>
        <w:br/>
        <w:t>Focused on one solution area, such as cybersecurity, IT modernization, logistics, training, program management, intelligence support, engineering, or facilities support. This is useful when the company has multiple business lines.</w:t>
      </w:r>
    </w:p>
    <w:p w14:paraId="45FE088C" w14:textId="77777777" w:rsidR="00E17C6C" w:rsidRPr="00E17C6C" w:rsidRDefault="00E17C6C" w:rsidP="00E17C6C">
      <w:pPr>
        <w:pStyle w:val="ListParagraph"/>
        <w:numPr>
          <w:ilvl w:val="0"/>
          <w:numId w:val="4"/>
        </w:numPr>
        <w:spacing w:after="160" w:line="278" w:lineRule="auto"/>
        <w:contextualSpacing/>
        <w:rPr>
          <w:b/>
          <w:bCs/>
          <w:sz w:val="24"/>
          <w:szCs w:val="24"/>
        </w:rPr>
      </w:pPr>
      <w:r w:rsidRPr="00E17C6C">
        <w:rPr>
          <w:rFonts w:eastAsia="Times New Roman"/>
          <w:b/>
          <w:bCs/>
          <w:sz w:val="24"/>
          <w:szCs w:val="24"/>
        </w:rPr>
        <w:t>Past Performance-Focused Capability Statement</w:t>
      </w:r>
      <w:r w:rsidRPr="00E17C6C">
        <w:rPr>
          <w:rFonts w:eastAsia="Times New Roman"/>
          <w:sz w:val="24"/>
          <w:szCs w:val="24"/>
        </w:rPr>
        <w:br/>
        <w:t>Designed to highlight relevant contract history, performance outcomes, customer results, CPARS-style strengths, and comparable work. This is useful when credibility and proof of performance are the main selling points.</w:t>
      </w:r>
    </w:p>
    <w:p w14:paraId="3D9ABD00" w14:textId="77777777" w:rsidR="00E17C6C" w:rsidRPr="00E17C6C" w:rsidRDefault="00E17C6C" w:rsidP="00E17C6C">
      <w:pPr>
        <w:pStyle w:val="ListParagraph"/>
        <w:numPr>
          <w:ilvl w:val="0"/>
          <w:numId w:val="4"/>
        </w:numPr>
        <w:spacing w:after="160" w:line="278" w:lineRule="auto"/>
        <w:contextualSpacing/>
        <w:rPr>
          <w:b/>
          <w:bCs/>
          <w:sz w:val="24"/>
          <w:szCs w:val="24"/>
        </w:rPr>
      </w:pPr>
      <w:r w:rsidRPr="00E17C6C">
        <w:rPr>
          <w:rFonts w:eastAsia="Times New Roman"/>
          <w:b/>
          <w:bCs/>
          <w:sz w:val="24"/>
          <w:szCs w:val="24"/>
        </w:rPr>
        <w:t>Event / Conference Capability Statement</w:t>
      </w:r>
      <w:r w:rsidRPr="00E17C6C">
        <w:rPr>
          <w:rFonts w:eastAsia="Times New Roman"/>
          <w:sz w:val="24"/>
          <w:szCs w:val="24"/>
        </w:rPr>
        <w:br/>
        <w:t>A concise, highly polished version used for matchmaking sessions, industry days, small business events, and agency outreach meetings. It should be visually clean and easy to scan quickly.</w:t>
      </w:r>
    </w:p>
    <w:p w14:paraId="7451702E" w14:textId="77777777" w:rsidR="00E17C6C" w:rsidRPr="00E17C6C" w:rsidRDefault="00E17C6C" w:rsidP="00E17C6C">
      <w:pPr>
        <w:rPr>
          <w:b/>
          <w:bCs/>
          <w:sz w:val="24"/>
          <w:szCs w:val="24"/>
        </w:rPr>
      </w:pPr>
      <w:r w:rsidRPr="00E17C6C">
        <w:rPr>
          <w:rFonts w:eastAsia="Times New Roman"/>
          <w:sz w:val="24"/>
          <w:szCs w:val="24"/>
        </w:rPr>
        <w:t xml:space="preserve">A good rule of thumb: </w:t>
      </w:r>
      <w:r w:rsidRPr="00E17C6C">
        <w:rPr>
          <w:rFonts w:eastAsia="Times New Roman"/>
          <w:b/>
          <w:bCs/>
          <w:sz w:val="24"/>
          <w:szCs w:val="24"/>
        </w:rPr>
        <w:t>the website version is general; the version sent to an agency, prime contractor, RFI, or Sources Sought notice should be tailored.</w:t>
      </w:r>
    </w:p>
    <w:p w14:paraId="734983FA" w14:textId="77777777" w:rsidR="00E17C6C" w:rsidRPr="00E17C6C" w:rsidRDefault="00E17C6C" w:rsidP="00E17C6C">
      <w:pPr>
        <w:rPr>
          <w:b/>
          <w:bCs/>
          <w:sz w:val="24"/>
          <w:szCs w:val="24"/>
        </w:rPr>
      </w:pPr>
    </w:p>
    <w:p w14:paraId="5806FEC9" w14:textId="77777777" w:rsidR="00E17C6C" w:rsidRPr="00E17C6C" w:rsidRDefault="00E17C6C" w:rsidP="00E17C6C">
      <w:pPr>
        <w:pStyle w:val="Heading1"/>
        <w:rPr>
          <w:sz w:val="24"/>
          <w:szCs w:val="24"/>
        </w:rPr>
      </w:pPr>
    </w:p>
    <w:sectPr w:rsidR="00E17C6C" w:rsidRPr="00E17C6C" w:rsidSect="002515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742A3" w14:textId="77777777" w:rsidR="009C5DE7" w:rsidRDefault="009C5DE7">
      <w:r>
        <w:separator/>
      </w:r>
    </w:p>
  </w:endnote>
  <w:endnote w:type="continuationSeparator" w:id="0">
    <w:p w14:paraId="6F494EA0" w14:textId="77777777" w:rsidR="009C5DE7" w:rsidRDefault="009C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1479" w14:textId="77777777" w:rsidR="00957928" w:rsidRDefault="00957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150314"/>
      <w:docPartObj>
        <w:docPartGallery w:val="Page Numbers (Bottom of Page)"/>
        <w:docPartUnique/>
      </w:docPartObj>
    </w:sdtPr>
    <w:sdtEndPr/>
    <w:sdtContent>
      <w:sdt>
        <w:sdtPr>
          <w:id w:val="-1769616900"/>
          <w:docPartObj>
            <w:docPartGallery w:val="Page Numbers (Top of Page)"/>
            <w:docPartUnique/>
          </w:docPartObj>
        </w:sdtPr>
        <w:sdtEndPr/>
        <w:sdtContent>
          <w:p w14:paraId="7977B6D1" w14:textId="77777777" w:rsidR="00251525" w:rsidRDefault="0025152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AD6A5D" w14:textId="77777777" w:rsidR="009755B7" w:rsidRPr="00251525" w:rsidRDefault="009755B7" w:rsidP="00251525">
    <w:pPr>
      <w:jc w:val="center"/>
      <w:rPr>
        <w:rFonts w:ascii="Times New Roman" w:hAnsi="Times New Roman" w:cs="Times New Roman"/>
        <w:color w:val="1F3864"/>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35C8" w14:textId="77777777" w:rsidR="00957928" w:rsidRDefault="00957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7C6E0" w14:textId="77777777" w:rsidR="009C5DE7" w:rsidRDefault="009C5DE7">
      <w:r>
        <w:separator/>
      </w:r>
    </w:p>
  </w:footnote>
  <w:footnote w:type="continuationSeparator" w:id="0">
    <w:p w14:paraId="1B6182A9" w14:textId="77777777" w:rsidR="009C5DE7" w:rsidRDefault="009C5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0A82" w14:textId="77777777" w:rsidR="00957928" w:rsidRDefault="00957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38BC" w14:textId="77777777" w:rsidR="00251525" w:rsidRDefault="00251525" w:rsidP="00251525">
    <w:pPr>
      <w:pStyle w:val="Header"/>
    </w:pPr>
    <w:r>
      <w:rPr>
        <w:noProof/>
      </w:rPr>
      <w:drawing>
        <wp:anchor distT="0" distB="0" distL="114300" distR="114300" simplePos="0" relativeHeight="251658240" behindDoc="0" locked="0" layoutInCell="1" allowOverlap="1" wp14:anchorId="17F7D034" wp14:editId="2A178E4A">
          <wp:simplePos x="0" y="0"/>
          <wp:positionH relativeFrom="column">
            <wp:posOffset>-73361</wp:posOffset>
          </wp:positionH>
          <wp:positionV relativeFrom="paragraph">
            <wp:posOffset>-225520</wp:posOffset>
          </wp:positionV>
          <wp:extent cx="1548130" cy="688975"/>
          <wp:effectExtent l="0" t="0" r="0" b="0"/>
          <wp:wrapSquare wrapText="bothSides"/>
          <wp:docPr id="1212886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886603" name="Picture 1212886603"/>
                  <pic:cNvPicPr/>
                </pic:nvPicPr>
                <pic:blipFill>
                  <a:blip r:embed="rId1">
                    <a:extLst>
                      <a:ext uri="{28A0092B-C50C-407E-A947-70E740481C1C}">
                        <a14:useLocalDpi xmlns:a14="http://schemas.microsoft.com/office/drawing/2010/main" val="0"/>
                      </a:ext>
                    </a:extLst>
                  </a:blip>
                  <a:stretch>
                    <a:fillRect/>
                  </a:stretch>
                </pic:blipFill>
                <pic:spPr>
                  <a:xfrm>
                    <a:off x="0" y="0"/>
                    <a:ext cx="1548130" cy="688975"/>
                  </a:xfrm>
                  <a:prstGeom prst="rect">
                    <a:avLst/>
                  </a:prstGeom>
                </pic:spPr>
              </pic:pic>
            </a:graphicData>
          </a:graphic>
          <wp14:sizeRelH relativeFrom="margin">
            <wp14:pctWidth>0</wp14:pctWidth>
          </wp14:sizeRelH>
          <wp14:sizeRelV relativeFrom="margin">
            <wp14:pctHeight>0</wp14:pctHeight>
          </wp14:sizeRelV>
        </wp:anchor>
      </w:drawing>
    </w:r>
  </w:p>
  <w:p w14:paraId="32973441" w14:textId="77777777" w:rsidR="00251525" w:rsidRPr="00251525" w:rsidRDefault="00251525" w:rsidP="00251525">
    <w:pPr>
      <w:pStyle w:val="Header"/>
      <w:pBdr>
        <w:bottom w:val="single" w:sz="12" w:space="2" w:color="1F3864"/>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D9F3" w14:textId="77777777" w:rsidR="00957928" w:rsidRDefault="00957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6CEC"/>
    <w:multiLevelType w:val="hybridMultilevel"/>
    <w:tmpl w:val="D00CDBF4"/>
    <w:lvl w:ilvl="0" w:tplc="A5D8C888">
      <w:start w:val="1"/>
      <w:numFmt w:val="bullet"/>
      <w:lvlText w:val="•"/>
      <w:lvlJc w:val="left"/>
      <w:pPr>
        <w:ind w:left="720" w:hanging="360"/>
      </w:pPr>
    </w:lvl>
    <w:lvl w:ilvl="1" w:tplc="BA68C4DA">
      <w:start w:val="1"/>
      <w:numFmt w:val="bullet"/>
      <w:lvlText w:val="◦"/>
      <w:lvlJc w:val="left"/>
      <w:pPr>
        <w:ind w:left="1440" w:hanging="360"/>
      </w:pPr>
    </w:lvl>
    <w:lvl w:ilvl="2" w:tplc="78327424">
      <w:numFmt w:val="decimal"/>
      <w:lvlText w:val=""/>
      <w:lvlJc w:val="left"/>
    </w:lvl>
    <w:lvl w:ilvl="3" w:tplc="F61C3172">
      <w:numFmt w:val="decimal"/>
      <w:lvlText w:val=""/>
      <w:lvlJc w:val="left"/>
    </w:lvl>
    <w:lvl w:ilvl="4" w:tplc="5A04DC86">
      <w:numFmt w:val="decimal"/>
      <w:lvlText w:val=""/>
      <w:lvlJc w:val="left"/>
    </w:lvl>
    <w:lvl w:ilvl="5" w:tplc="AF5A8218">
      <w:numFmt w:val="decimal"/>
      <w:lvlText w:val=""/>
      <w:lvlJc w:val="left"/>
    </w:lvl>
    <w:lvl w:ilvl="6" w:tplc="79AAE57C">
      <w:numFmt w:val="decimal"/>
      <w:lvlText w:val=""/>
      <w:lvlJc w:val="left"/>
    </w:lvl>
    <w:lvl w:ilvl="7" w:tplc="6FCECDCC">
      <w:numFmt w:val="decimal"/>
      <w:lvlText w:val=""/>
      <w:lvlJc w:val="left"/>
    </w:lvl>
    <w:lvl w:ilvl="8" w:tplc="92AAF3AA">
      <w:numFmt w:val="decimal"/>
      <w:lvlText w:val=""/>
      <w:lvlJc w:val="left"/>
    </w:lvl>
  </w:abstractNum>
  <w:abstractNum w:abstractNumId="1" w15:restartNumberingAfterBreak="0">
    <w:nsid w:val="065E6B43"/>
    <w:multiLevelType w:val="multilevel"/>
    <w:tmpl w:val="5B146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2A13A1"/>
    <w:multiLevelType w:val="hybridMultilevel"/>
    <w:tmpl w:val="327AFAE0"/>
    <w:lvl w:ilvl="0" w:tplc="F274F1FC">
      <w:start w:val="1"/>
      <w:numFmt w:val="bullet"/>
      <w:lvlText w:val="●"/>
      <w:lvlJc w:val="left"/>
      <w:pPr>
        <w:ind w:left="720" w:hanging="360"/>
      </w:pPr>
    </w:lvl>
    <w:lvl w:ilvl="1" w:tplc="EF48610C">
      <w:start w:val="1"/>
      <w:numFmt w:val="bullet"/>
      <w:lvlText w:val="○"/>
      <w:lvlJc w:val="left"/>
      <w:pPr>
        <w:ind w:left="1440" w:hanging="360"/>
      </w:pPr>
    </w:lvl>
    <w:lvl w:ilvl="2" w:tplc="991417B4">
      <w:start w:val="1"/>
      <w:numFmt w:val="bullet"/>
      <w:lvlText w:val="■"/>
      <w:lvlJc w:val="left"/>
      <w:pPr>
        <w:ind w:left="2160" w:hanging="360"/>
      </w:pPr>
    </w:lvl>
    <w:lvl w:ilvl="3" w:tplc="D5BC09CA">
      <w:start w:val="1"/>
      <w:numFmt w:val="bullet"/>
      <w:lvlText w:val="●"/>
      <w:lvlJc w:val="left"/>
      <w:pPr>
        <w:ind w:left="2880" w:hanging="360"/>
      </w:pPr>
    </w:lvl>
    <w:lvl w:ilvl="4" w:tplc="F7982DB8">
      <w:start w:val="1"/>
      <w:numFmt w:val="bullet"/>
      <w:lvlText w:val="○"/>
      <w:lvlJc w:val="left"/>
      <w:pPr>
        <w:ind w:left="3600" w:hanging="360"/>
      </w:pPr>
    </w:lvl>
    <w:lvl w:ilvl="5" w:tplc="390852BE">
      <w:start w:val="1"/>
      <w:numFmt w:val="bullet"/>
      <w:lvlText w:val="■"/>
      <w:lvlJc w:val="left"/>
      <w:pPr>
        <w:ind w:left="4320" w:hanging="360"/>
      </w:pPr>
    </w:lvl>
    <w:lvl w:ilvl="6" w:tplc="CE4EFDE4">
      <w:start w:val="1"/>
      <w:numFmt w:val="bullet"/>
      <w:lvlText w:val="●"/>
      <w:lvlJc w:val="left"/>
      <w:pPr>
        <w:ind w:left="5040" w:hanging="360"/>
      </w:pPr>
    </w:lvl>
    <w:lvl w:ilvl="7" w:tplc="B2865462">
      <w:start w:val="1"/>
      <w:numFmt w:val="bullet"/>
      <w:lvlText w:val="●"/>
      <w:lvlJc w:val="left"/>
      <w:pPr>
        <w:ind w:left="5760" w:hanging="360"/>
      </w:pPr>
    </w:lvl>
    <w:lvl w:ilvl="8" w:tplc="8392FCDC">
      <w:start w:val="1"/>
      <w:numFmt w:val="bullet"/>
      <w:lvlText w:val="●"/>
      <w:lvlJc w:val="left"/>
      <w:pPr>
        <w:ind w:left="6480" w:hanging="360"/>
      </w:pPr>
    </w:lvl>
  </w:abstractNum>
  <w:abstractNum w:abstractNumId="3" w15:restartNumberingAfterBreak="0">
    <w:nsid w:val="4A112590"/>
    <w:multiLevelType w:val="hybridMultilevel"/>
    <w:tmpl w:val="8E305D74"/>
    <w:lvl w:ilvl="0" w:tplc="8E3E67A2">
      <w:start w:val="1"/>
      <w:numFmt w:val="decimal"/>
      <w:lvlText w:val="%1."/>
      <w:lvlJc w:val="left"/>
      <w:pPr>
        <w:ind w:left="720" w:hanging="360"/>
      </w:pPr>
    </w:lvl>
    <w:lvl w:ilvl="1" w:tplc="42AAF4CA">
      <w:numFmt w:val="decimal"/>
      <w:lvlText w:val=""/>
      <w:lvlJc w:val="left"/>
    </w:lvl>
    <w:lvl w:ilvl="2" w:tplc="80F4B212">
      <w:numFmt w:val="decimal"/>
      <w:lvlText w:val=""/>
      <w:lvlJc w:val="left"/>
    </w:lvl>
    <w:lvl w:ilvl="3" w:tplc="F6DCE310">
      <w:numFmt w:val="decimal"/>
      <w:lvlText w:val=""/>
      <w:lvlJc w:val="left"/>
    </w:lvl>
    <w:lvl w:ilvl="4" w:tplc="963E2C46">
      <w:numFmt w:val="decimal"/>
      <w:lvlText w:val=""/>
      <w:lvlJc w:val="left"/>
    </w:lvl>
    <w:lvl w:ilvl="5" w:tplc="CAC20B38">
      <w:numFmt w:val="decimal"/>
      <w:lvlText w:val=""/>
      <w:lvlJc w:val="left"/>
    </w:lvl>
    <w:lvl w:ilvl="6" w:tplc="AA560ECE">
      <w:numFmt w:val="decimal"/>
      <w:lvlText w:val=""/>
      <w:lvlJc w:val="left"/>
    </w:lvl>
    <w:lvl w:ilvl="7" w:tplc="4FA24F1C">
      <w:numFmt w:val="decimal"/>
      <w:lvlText w:val=""/>
      <w:lvlJc w:val="left"/>
    </w:lvl>
    <w:lvl w:ilvl="8" w:tplc="7E002BDE">
      <w:numFmt w:val="decimal"/>
      <w:lvlText w:val=""/>
      <w:lvlJc w:val="left"/>
    </w:lvl>
  </w:abstractNum>
  <w:num w:numId="1" w16cid:durableId="1475563877">
    <w:abstractNumId w:val="2"/>
    <w:lvlOverride w:ilvl="0">
      <w:startOverride w:val="1"/>
    </w:lvlOverride>
  </w:num>
  <w:num w:numId="2" w16cid:durableId="961155687">
    <w:abstractNumId w:val="0"/>
    <w:lvlOverride w:ilvl="0">
      <w:startOverride w:val="1"/>
    </w:lvlOverride>
  </w:num>
  <w:num w:numId="3" w16cid:durableId="321084858">
    <w:abstractNumId w:val="3"/>
    <w:lvlOverride w:ilvl="0">
      <w:startOverride w:val="1"/>
    </w:lvlOverride>
  </w:num>
  <w:num w:numId="4" w16cid:durableId="81880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D6B"/>
    <w:rsid w:val="0002078B"/>
    <w:rsid w:val="0002507F"/>
    <w:rsid w:val="00086B04"/>
    <w:rsid w:val="0010126D"/>
    <w:rsid w:val="00111C8C"/>
    <w:rsid w:val="00160231"/>
    <w:rsid w:val="00161BC5"/>
    <w:rsid w:val="00251525"/>
    <w:rsid w:val="00300371"/>
    <w:rsid w:val="003D0EC4"/>
    <w:rsid w:val="005122A2"/>
    <w:rsid w:val="00512D87"/>
    <w:rsid w:val="00536C10"/>
    <w:rsid w:val="0081458C"/>
    <w:rsid w:val="008E6678"/>
    <w:rsid w:val="00957928"/>
    <w:rsid w:val="009755B7"/>
    <w:rsid w:val="009C5DE7"/>
    <w:rsid w:val="00A32F7C"/>
    <w:rsid w:val="00B36D6B"/>
    <w:rsid w:val="00B56C19"/>
    <w:rsid w:val="00B87954"/>
    <w:rsid w:val="00C14A10"/>
    <w:rsid w:val="00C22EDB"/>
    <w:rsid w:val="00C2310D"/>
    <w:rsid w:val="00C97B1F"/>
    <w:rsid w:val="00CB76E1"/>
    <w:rsid w:val="00CD62ED"/>
    <w:rsid w:val="00E15716"/>
    <w:rsid w:val="00E1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10AF2"/>
  <w15:docId w15:val="{5E70D698-D50F-496D-BF6C-A2639BA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40"/>
      <w:outlineLvl w:val="0"/>
    </w:pPr>
    <w:rPr>
      <w:b/>
      <w:bCs/>
      <w:color w:val="1F3864"/>
      <w:sz w:val="36"/>
      <w:szCs w:val="36"/>
    </w:rPr>
  </w:style>
  <w:style w:type="paragraph" w:styleId="Heading2">
    <w:name w:val="heading 2"/>
    <w:uiPriority w:val="9"/>
    <w:unhideWhenUsed/>
    <w:qFormat/>
    <w:pPr>
      <w:spacing w:before="240" w:after="120"/>
      <w:outlineLvl w:val="1"/>
    </w:pPr>
    <w:rPr>
      <w:b/>
      <w:bCs/>
      <w:color w:val="1F3864"/>
      <w:sz w:val="28"/>
      <w:szCs w:val="28"/>
    </w:rPr>
  </w:style>
  <w:style w:type="paragraph" w:styleId="Heading3">
    <w:name w:val="heading 3"/>
    <w:uiPriority w:val="9"/>
    <w:unhideWhenUsed/>
    <w:qFormat/>
    <w:pPr>
      <w:spacing w:before="180" w:after="80"/>
      <w:outlineLvl w:val="2"/>
    </w:pPr>
    <w:rPr>
      <w:b/>
      <w:bCs/>
      <w:i/>
      <w:iCs/>
      <w:color w:val="2E75B6"/>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D62ED"/>
    <w:pPr>
      <w:tabs>
        <w:tab w:val="center" w:pos="4680"/>
        <w:tab w:val="right" w:pos="9360"/>
      </w:tabs>
    </w:pPr>
  </w:style>
  <w:style w:type="character" w:customStyle="1" w:styleId="HeaderChar">
    <w:name w:val="Header Char"/>
    <w:basedOn w:val="DefaultParagraphFont"/>
    <w:link w:val="Header"/>
    <w:uiPriority w:val="99"/>
    <w:rsid w:val="00CD62ED"/>
  </w:style>
  <w:style w:type="paragraph" w:styleId="Footer">
    <w:name w:val="footer"/>
    <w:basedOn w:val="Normal"/>
    <w:link w:val="FooterChar"/>
    <w:uiPriority w:val="99"/>
    <w:unhideWhenUsed/>
    <w:rsid w:val="00CD62ED"/>
    <w:pPr>
      <w:tabs>
        <w:tab w:val="center" w:pos="4680"/>
        <w:tab w:val="right" w:pos="9360"/>
      </w:tabs>
    </w:pPr>
  </w:style>
  <w:style w:type="character" w:customStyle="1" w:styleId="FooterChar">
    <w:name w:val="Footer Char"/>
    <w:basedOn w:val="DefaultParagraphFont"/>
    <w:link w:val="Footer"/>
    <w:uiPriority w:val="99"/>
    <w:rsid w:val="00CD62ED"/>
  </w:style>
  <w:style w:type="paragraph" w:styleId="TOCHeading">
    <w:name w:val="TOC Heading"/>
    <w:basedOn w:val="Heading1"/>
    <w:next w:val="Normal"/>
    <w:uiPriority w:val="39"/>
    <w:unhideWhenUsed/>
    <w:qFormat/>
    <w:rsid w:val="00A32F7C"/>
    <w:pPr>
      <w:keepNext/>
      <w:keepLines/>
      <w:spacing w:before="240" w:after="0" w:line="259" w:lineRule="auto"/>
      <w:outlineLvl w:val="9"/>
    </w:pPr>
    <w:rPr>
      <w:rFonts w:asciiTheme="majorHAnsi" w:eastAsiaTheme="majorEastAsia" w:hAnsiTheme="majorHAnsi" w:cstheme="majorBidi"/>
      <w:b w:val="0"/>
      <w:bCs w:val="0"/>
      <w:color w:val="0F4761" w:themeColor="accent1" w:themeShade="BF"/>
      <w:sz w:val="32"/>
      <w:szCs w:val="32"/>
    </w:rPr>
  </w:style>
  <w:style w:type="paragraph" w:styleId="TOC1">
    <w:name w:val="toc 1"/>
    <w:basedOn w:val="Normal"/>
    <w:next w:val="Normal"/>
    <w:autoRedefine/>
    <w:uiPriority w:val="39"/>
    <w:unhideWhenUsed/>
    <w:rsid w:val="00A32F7C"/>
    <w:pPr>
      <w:spacing w:after="100"/>
    </w:pPr>
  </w:style>
  <w:style w:type="paragraph" w:styleId="TOC2">
    <w:name w:val="toc 2"/>
    <w:basedOn w:val="Normal"/>
    <w:next w:val="Normal"/>
    <w:autoRedefine/>
    <w:uiPriority w:val="39"/>
    <w:unhideWhenUsed/>
    <w:rsid w:val="00A32F7C"/>
    <w:pPr>
      <w:spacing w:after="100"/>
      <w:ind w:left="220"/>
    </w:pPr>
  </w:style>
  <w:style w:type="table" w:styleId="GridTable4-Accent1">
    <w:name w:val="Grid Table 4 Accent 1"/>
    <w:basedOn w:val="TableNormal"/>
    <w:uiPriority w:val="49"/>
    <w:rsid w:val="00957928"/>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Grid">
    <w:name w:val="Table Grid"/>
    <w:basedOn w:val="TableNormal"/>
    <w:uiPriority w:val="39"/>
    <w:rsid w:val="00251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e\OneDrive%20-%20hm-winston.com\WinTech-Work_2026\GovCon%20Market%20Strategy%20&amp;%20Tools\12.%20Wintech%20Letterhead%20Templates\WinTech%20Publ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8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B16923-62BF-4A57-9FE9-18C974322978}">
  <we:reference id="wa200010453" version="1.0.0.1" store="en-US" storeType="OMEX"/>
  <we:alternateReferences>
    <we:reference id="wa200010453" version="1.0.0.1" store="" storeType="OMEX"/>
  </we:alternateReferences>
  <we:properties>
    <we:property name="claude.fileId" value="&quot;546b2bf4-6cc4-45e2-b235-fac3fe6d01d1&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65CD0-36C0-4047-BF45-3954C11FD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WinTech Publication Template</Template>
  <TotalTime>7</TotalTime>
  <Pages>3</Pages>
  <Words>499</Words>
  <Characters>3024</Characters>
  <Application>Microsoft Office Word</Application>
  <DocSecurity>0</DocSecurity>
  <Lines>49</Lines>
  <Paragraphs>17</Paragraphs>
  <ScaleCrop>false</ScaleCrop>
  <HeadingPairs>
    <vt:vector size="2" baseType="variant">
      <vt:variant>
        <vt:lpstr>Title</vt:lpstr>
      </vt:variant>
      <vt:variant>
        <vt:i4>1</vt:i4>
      </vt:variant>
    </vt:vector>
  </HeadingPairs>
  <TitlesOfParts>
    <vt:vector size="1" baseType="lpstr">
      <vt:lpstr>Federal Government Proposal Writing — A Handbook for New Team Members</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Government Proposal Writing — A Handbook for New Team Members</dc:title>
  <dc:creator>Moe Hill</dc:creator>
  <cp:lastModifiedBy>Maurice Hill</cp:lastModifiedBy>
  <cp:revision>1</cp:revision>
  <cp:lastPrinted>2026-06-08T14:16:00Z</cp:lastPrinted>
  <dcterms:created xsi:type="dcterms:W3CDTF">2026-06-14T22:21:00Z</dcterms:created>
  <dcterms:modified xsi:type="dcterms:W3CDTF">2026-06-14T22:31:00Z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bf964669-7b2a-4c5f-9288-5cd5b6e1df56</vt:lpwstr>
  </property>
</Properties>
</file>