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360" w:firstLine="0"/>
        <w:contextualSpacing w:val="0"/>
        <w:jc w:val="center"/>
      </w:pPr>
      <w:r w:rsidDel="00000000" w:rsidR="00000000" w:rsidRPr="00000000">
        <w:drawing>
          <wp:inline distB="0" distT="0" distL="0" distR="0">
            <wp:extent cx="5473700" cy="1358900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73700" cy="1358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  <w:jc w:val="center"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Ordre du jour de la réunion du Conseil d’administration du 22 novembre 2016</w:t>
      </w:r>
    </w:p>
    <w:p w:rsidR="00000000" w:rsidDel="00000000" w:rsidP="00000000" w:rsidRDefault="00000000" w:rsidRPr="00000000">
      <w:pPr>
        <w:spacing w:line="276" w:lineRule="auto"/>
        <w:ind w:left="36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ind w:left="36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adoption de l’Ordre du jour</w:t>
      </w:r>
    </w:p>
    <w:p w:rsidR="00000000" w:rsidDel="00000000" w:rsidP="00000000" w:rsidRDefault="00000000" w:rsidRPr="00000000">
      <w:pPr>
        <w:spacing w:after="0" w:before="0" w:line="276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Adoption du procès-verbal du 7 novembre 2016</w:t>
      </w:r>
    </w:p>
    <w:p w:rsidR="00000000" w:rsidDel="00000000" w:rsidP="00000000" w:rsidRDefault="00000000" w:rsidRPr="00000000">
      <w:pPr>
        <w:spacing w:line="276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HOODIES</w:t>
      </w:r>
    </w:p>
    <w:p w:rsidR="00000000" w:rsidDel="00000000" w:rsidP="00000000" w:rsidRDefault="00000000" w:rsidRPr="00000000">
      <w:pPr>
        <w:spacing w:line="276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Plan d’action en matière d’encadrement des activités d’intégration et festives</w:t>
      </w:r>
    </w:p>
    <w:p w:rsidR="00000000" w:rsidDel="00000000" w:rsidP="00000000" w:rsidRDefault="00000000" w:rsidRPr="00000000">
      <w:pPr>
        <w:spacing w:after="0" w:before="0" w:line="276" w:lineRule="auto"/>
        <w:ind w:left="284" w:firstLine="141.99999999999994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Rencontre avec le BIMH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Plan d’action (GoogleDoc)</w:t>
      </w:r>
    </w:p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Le POLÉMIQUE</w:t>
      </w:r>
    </w:p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Deuxième publication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Vin et fromage</w:t>
      </w:r>
    </w:p>
    <w:p w:rsidR="00000000" w:rsidDel="00000000" w:rsidP="00000000" w:rsidRDefault="00000000" w:rsidRPr="00000000">
      <w:pPr>
        <w:spacing w:after="0" w:before="0" w:line="276" w:lineRule="auto"/>
        <w:ind w:left="144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REPRÉSENTANT DES FINISSANTS</w:t>
      </w:r>
    </w:p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Photos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Lipsync Battle et campagnes de financement</w:t>
      </w:r>
    </w:p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délégué(E)s aux communications</w:t>
      </w:r>
    </w:p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Mise à jour du site internet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Consultation publique du 1</w:t>
      </w: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vertAlign w:val="superscript"/>
          <w:rtl w:val="0"/>
        </w:rPr>
        <w:t xml:space="preserve">er</w:t>
      </w: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 décembre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Plan de communication</w:t>
      </w:r>
    </w:p>
    <w:p w:rsidR="00000000" w:rsidDel="00000000" w:rsidP="00000000" w:rsidRDefault="00000000" w:rsidRPr="00000000">
      <w:pPr>
        <w:spacing w:after="0" w:before="0" w:line="276" w:lineRule="auto"/>
        <w:ind w:left="142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142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Représentant des étudiants internationaux</w:t>
      </w:r>
    </w:p>
    <w:p w:rsidR="00000000" w:rsidDel="00000000" w:rsidP="00000000" w:rsidRDefault="00000000" w:rsidRPr="00000000">
      <w:pPr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ab/>
        <w:t xml:space="preserve">Retour sur la Tournée des appartements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Activités</w:t>
      </w:r>
    </w:p>
    <w:p w:rsidR="00000000" w:rsidDel="00000000" w:rsidP="00000000" w:rsidRDefault="00000000" w:rsidRPr="00000000">
      <w:pPr>
        <w:spacing w:after="0" w:before="0" w:line="276" w:lineRule="auto"/>
        <w:ind w:left="144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délégué aux affaires académiques</w:t>
      </w:r>
    </w:p>
    <w:p w:rsidR="00000000" w:rsidDel="00000000" w:rsidP="00000000" w:rsidRDefault="00000000" w:rsidRPr="00000000">
      <w:pPr>
        <w:spacing w:line="276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Évaluation des professeurs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Dossiers en cours</w:t>
      </w:r>
    </w:p>
    <w:p w:rsidR="00000000" w:rsidDel="00000000" w:rsidP="00000000" w:rsidRDefault="00000000" w:rsidRPr="00000000">
      <w:pPr>
        <w:spacing w:after="0" w:before="0" w:line="276" w:lineRule="auto"/>
        <w:ind w:left="144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cve sportif</w:t>
      </w:r>
    </w:p>
    <w:p w:rsidR="00000000" w:rsidDel="00000000" w:rsidP="00000000" w:rsidRDefault="00000000" w:rsidRPr="00000000">
      <w:pPr>
        <w:spacing w:line="276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Tournoi de handball (ping-pong)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Yoga acrobatique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Activités</w:t>
      </w:r>
    </w:p>
    <w:p w:rsidR="00000000" w:rsidDel="00000000" w:rsidP="00000000" w:rsidRDefault="00000000" w:rsidRPr="00000000">
      <w:pPr>
        <w:spacing w:after="0" w:before="0" w:line="276" w:lineRule="auto"/>
        <w:ind w:left="144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cve socioculturel</w:t>
      </w:r>
    </w:p>
    <w:p w:rsidR="00000000" w:rsidDel="00000000" w:rsidP="00000000" w:rsidRDefault="00000000" w:rsidRPr="00000000">
      <w:pPr>
        <w:spacing w:line="276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Improvisation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Activités</w:t>
      </w:r>
    </w:p>
    <w:p w:rsidR="00000000" w:rsidDel="00000000" w:rsidP="00000000" w:rsidRDefault="00000000" w:rsidRPr="00000000">
      <w:pPr>
        <w:spacing w:after="0" w:before="0" w:line="276" w:lineRule="auto"/>
        <w:ind w:left="144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cve festif</w:t>
      </w:r>
    </w:p>
    <w:p w:rsidR="00000000" w:rsidDel="00000000" w:rsidP="00000000" w:rsidRDefault="00000000" w:rsidRPr="00000000">
      <w:pPr>
        <w:spacing w:line="276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Retour sur 4@Trump et Lendemain de veille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Party de fin de session</w:t>
      </w:r>
    </w:p>
    <w:p w:rsidR="00000000" w:rsidDel="00000000" w:rsidP="00000000" w:rsidRDefault="00000000" w:rsidRPr="00000000">
      <w:pPr>
        <w:spacing w:line="276" w:lineRule="auto"/>
        <w:ind w:left="720" w:firstLine="414.00000000000006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Externe(s)</w:t>
      </w:r>
    </w:p>
    <w:p w:rsidR="00000000" w:rsidDel="00000000" w:rsidP="00000000" w:rsidRDefault="00000000" w:rsidRPr="00000000">
      <w:pPr>
        <w:spacing w:line="276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mbria" w:cs="Cambria" w:eastAsia="Cambria" w:hAnsi="Cambria"/>
          <w:b w:val="0"/>
          <w:color w:val="4f81bd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color w:val="4f81bd"/>
          <w:sz w:val="24"/>
          <w:szCs w:val="24"/>
          <w:rtl w:val="0"/>
        </w:rPr>
        <w:t xml:space="preserve">Retour AG de règlements généraux et protocole de grève commun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Révision du cahier de position</w:t>
      </w:r>
    </w:p>
    <w:p w:rsidR="00000000" w:rsidDel="00000000" w:rsidP="00000000" w:rsidRDefault="00000000" w:rsidRPr="00000000">
      <w:pPr>
        <w:spacing w:after="0" w:before="0" w:line="276" w:lineRule="auto"/>
        <w:ind w:left="426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TRÉsorerie</w:t>
      </w:r>
    </w:p>
    <w:p w:rsidR="00000000" w:rsidDel="00000000" w:rsidP="00000000" w:rsidRDefault="00000000" w:rsidRPr="00000000">
      <w:pPr>
        <w:spacing w:after="0" w:before="0" w:line="276" w:lineRule="auto"/>
        <w:ind w:left="440" w:hanging="13.999999999999986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État des comptes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276" w:lineRule="auto"/>
        <w:ind w:left="792" w:hanging="432"/>
        <w:contextualSpacing w:val="1"/>
        <w:rPr>
          <w:rFonts w:ascii="Calibri" w:cs="Calibri" w:eastAsia="Calibri" w:hAnsi="Calibri"/>
          <w:b w:val="0"/>
          <w:color w:val="4f81b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color w:val="4f81bd"/>
          <w:sz w:val="24"/>
          <w:szCs w:val="24"/>
          <w:rtl w:val="0"/>
        </w:rPr>
        <w:t xml:space="preserve">Carte de crédit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Varia</w:t>
      </w:r>
    </w:p>
    <w:p w:rsidR="00000000" w:rsidDel="00000000" w:rsidP="00000000" w:rsidRDefault="00000000" w:rsidRPr="00000000">
      <w:pPr>
        <w:spacing w:line="276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360" w:hanging="360"/>
        <w:rPr>
          <w:rFonts w:ascii="Calibri" w:cs="Calibri" w:eastAsia="Calibri" w:hAnsi="Calibri"/>
          <w:b w:val="1"/>
          <w:smallCaps w:val="1"/>
          <w:color w:val="4f81b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4f81bd"/>
          <w:sz w:val="22"/>
          <w:szCs w:val="22"/>
          <w:rtl w:val="0"/>
        </w:rPr>
        <w:t xml:space="preserve">Fermeture</w:t>
      </w:r>
    </w:p>
    <w:sectPr>
      <w:pgSz w:h="15840" w:w="12240"/>
      <w:pgMar w:bottom="1440" w:top="1440" w:left="1800" w:right="18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360" w:firstLine="0"/>
      </w:pPr>
      <w:rPr/>
    </w:lvl>
    <w:lvl w:ilvl="1">
      <w:start w:val="1"/>
      <w:numFmt w:val="decimal"/>
      <w:lvlText w:val="%1.%2."/>
      <w:lvlJc w:val="left"/>
      <w:pPr>
        <w:ind w:left="792" w:firstLine="360"/>
      </w:pPr>
      <w:rPr/>
    </w:lvl>
    <w:lvl w:ilvl="2">
      <w:start w:val="1"/>
      <w:numFmt w:val="decimal"/>
      <w:lvlText w:val="%1.%2.%3."/>
      <w:lvlJc w:val="left"/>
      <w:pPr>
        <w:ind w:left="1224" w:firstLine="720"/>
      </w:pPr>
      <w:rPr/>
    </w:lvl>
    <w:lvl w:ilvl="3">
      <w:start w:val="1"/>
      <w:numFmt w:val="decimal"/>
      <w:lvlText w:val="%1.%2.%3.%4."/>
      <w:lvlJc w:val="left"/>
      <w:pPr>
        <w:ind w:left="1728" w:firstLine="1080.0000000000002"/>
      </w:pPr>
      <w:rPr/>
    </w:lvl>
    <w:lvl w:ilvl="4">
      <w:start w:val="1"/>
      <w:numFmt w:val="decimal"/>
      <w:lvlText w:val="%1.%2.%3.%4.%5."/>
      <w:lvlJc w:val="left"/>
      <w:pPr>
        <w:ind w:left="2232" w:firstLine="1440"/>
      </w:pPr>
      <w:rPr/>
    </w:lvl>
    <w:lvl w:ilvl="5">
      <w:start w:val="1"/>
      <w:numFmt w:val="decimal"/>
      <w:lvlText w:val="%1.%2.%3.%4.%5.%6."/>
      <w:lvlJc w:val="left"/>
      <w:pPr>
        <w:ind w:left="2736" w:firstLine="1800.0000000000002"/>
      </w:pPr>
      <w:rPr/>
    </w:lvl>
    <w:lvl w:ilvl="6">
      <w:start w:val="1"/>
      <w:numFmt w:val="decimal"/>
      <w:lvlText w:val="%1.%2.%3.%4.%5.%6.%7."/>
      <w:lvlJc w:val="left"/>
      <w:pPr>
        <w:ind w:left="3240" w:firstLine="2160"/>
      </w:pPr>
      <w:rPr/>
    </w:lvl>
    <w:lvl w:ilvl="7">
      <w:start w:val="1"/>
      <w:numFmt w:val="decimal"/>
      <w:lvlText w:val="%1.%2.%3.%4.%5.%6.%7.%8."/>
      <w:lvlJc w:val="left"/>
      <w:pPr>
        <w:ind w:left="3744" w:firstLine="2519.9999999999995"/>
      </w:pPr>
      <w:rPr/>
    </w:lvl>
    <w:lvl w:ilvl="8">
      <w:start w:val="1"/>
      <w:numFmt w:val="decimal"/>
      <w:lvlText w:val="%1.%2.%3.%4.%5.%6.%7.%8.%9."/>
      <w:lvlJc w:val="left"/>
      <w:pPr>
        <w:ind w:left="4320" w:firstLine="28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