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47A9C" w14:textId="77777777" w:rsidR="007E628C" w:rsidRDefault="007E628C" w:rsidP="007E628C">
      <w:pPr>
        <w:autoSpaceDE w:val="0"/>
        <w:rPr>
          <w:rFonts w:eastAsia="TimesNewRomanPSMT" w:cs="TimesNewRomanPSMT"/>
          <w:b/>
          <w:bCs/>
          <w:sz w:val="28"/>
          <w:szCs w:val="28"/>
        </w:rPr>
      </w:pPr>
      <w:r>
        <w:rPr>
          <w:rFonts w:eastAsia="TimesNewRomanPSMT" w:cs="TimesNewRomanPSMT"/>
          <w:b/>
          <w:bCs/>
          <w:sz w:val="28"/>
          <w:szCs w:val="28"/>
        </w:rPr>
        <w:t xml:space="preserve">Julia Strickler, ND </w:t>
      </w:r>
      <w:r>
        <w:rPr>
          <w:rFonts w:eastAsia="TimesNewRomanPSMT" w:cs="TimesNewRomanPSMT"/>
          <w:b/>
          <w:bCs/>
          <w:sz w:val="28"/>
          <w:szCs w:val="28"/>
        </w:rPr>
        <w:tab/>
      </w:r>
      <w:r>
        <w:rPr>
          <w:rFonts w:eastAsia="TimesNewRomanPSMT" w:cs="TimesNewRomanPSMT"/>
          <w:b/>
          <w:bCs/>
          <w:sz w:val="28"/>
          <w:szCs w:val="28"/>
        </w:rPr>
        <w:tab/>
      </w:r>
      <w:r>
        <w:rPr>
          <w:rFonts w:eastAsia="TimesNewRomanPSMT" w:cs="TimesNewRomanPSMT"/>
          <w:b/>
          <w:bCs/>
          <w:sz w:val="28"/>
          <w:szCs w:val="28"/>
        </w:rPr>
        <w:tab/>
      </w:r>
      <w:r>
        <w:rPr>
          <w:rFonts w:eastAsia="TimesNewRomanPSMT" w:cs="TimesNewRomanPSMT"/>
          <w:b/>
          <w:bCs/>
          <w:sz w:val="28"/>
          <w:szCs w:val="28"/>
        </w:rPr>
        <w:tab/>
      </w:r>
      <w:r>
        <w:rPr>
          <w:rFonts w:eastAsia="TimesNewRomanPSMT" w:cs="TimesNewRomanPSMT"/>
          <w:b/>
          <w:bCs/>
          <w:sz w:val="28"/>
          <w:szCs w:val="28"/>
        </w:rPr>
        <w:tab/>
      </w:r>
      <w:r>
        <w:rPr>
          <w:rFonts w:eastAsia="TimesNewRomanPSMT" w:cs="TimesNewRomanPSMT"/>
          <w:b/>
          <w:bCs/>
          <w:sz w:val="28"/>
          <w:szCs w:val="28"/>
        </w:rPr>
        <w:tab/>
      </w:r>
      <w:r>
        <w:rPr>
          <w:rFonts w:eastAsia="TimesNewRomanPSMT" w:cs="TimesNewRomanPSMT"/>
          <w:b/>
          <w:bCs/>
          <w:sz w:val="28"/>
          <w:szCs w:val="28"/>
        </w:rPr>
        <w:tab/>
        <w:t>Wellness From Within</w:t>
      </w:r>
    </w:p>
    <w:p w14:paraId="6930919B" w14:textId="77777777" w:rsidR="007E628C" w:rsidRPr="001D3095" w:rsidRDefault="007E628C" w:rsidP="007E628C">
      <w:pPr>
        <w:autoSpaceDE w:val="0"/>
        <w:jc w:val="center"/>
        <w:rPr>
          <w:rFonts w:eastAsia="TimesNewRomanPSMT" w:cs="TimesNewRomanPSMT"/>
          <w:b/>
          <w:bCs/>
          <w:sz w:val="28"/>
          <w:szCs w:val="28"/>
          <w:u w:val="single"/>
        </w:rPr>
      </w:pPr>
      <w:r w:rsidRPr="001D3095">
        <w:rPr>
          <w:rFonts w:eastAsia="TimesNewRomanPSMT" w:cs="TimesNewRomanPSMT"/>
          <w:b/>
          <w:bCs/>
          <w:sz w:val="28"/>
          <w:szCs w:val="28"/>
          <w:u w:val="single"/>
        </w:rPr>
        <w:t xml:space="preserve">Consultation </w:t>
      </w:r>
      <w:r>
        <w:rPr>
          <w:rFonts w:eastAsia="TimesNewRomanPSMT" w:cs="TimesNewRomanPSMT"/>
          <w:b/>
          <w:bCs/>
          <w:sz w:val="28"/>
          <w:szCs w:val="28"/>
          <w:u w:val="single"/>
        </w:rPr>
        <w:t>Agreement</w:t>
      </w:r>
    </w:p>
    <w:p w14:paraId="074EC679" w14:textId="77777777" w:rsidR="007E628C" w:rsidRDefault="007E628C" w:rsidP="007E628C">
      <w:pPr>
        <w:autoSpaceDE w:val="0"/>
        <w:rPr>
          <w:rFonts w:eastAsia="TimesNewRomanPSMT" w:cs="TimesNewRomanPSMT"/>
          <w:sz w:val="24"/>
          <w:szCs w:val="24"/>
        </w:rPr>
      </w:pPr>
    </w:p>
    <w:p w14:paraId="7420B74B" w14:textId="77777777" w:rsidR="007E628C" w:rsidRDefault="007E628C" w:rsidP="007E628C">
      <w:pPr>
        <w:autoSpaceDE w:val="0"/>
        <w:rPr>
          <w:rFonts w:eastAsia="TimesNewRomanPSMT" w:cs="TimesNewRomanPSMT"/>
          <w:sz w:val="24"/>
          <w:szCs w:val="24"/>
        </w:rPr>
      </w:pPr>
    </w:p>
    <w:p w14:paraId="26249FF3" w14:textId="77777777" w:rsidR="007E628C" w:rsidRDefault="007E628C" w:rsidP="007E628C">
      <w:pPr>
        <w:tabs>
          <w:tab w:val="left" w:pos="360"/>
        </w:tabs>
        <w:autoSpaceDE w:val="0"/>
        <w:ind w:left="360" w:hanging="360"/>
        <w:rPr>
          <w:rFonts w:eastAsia="TimesNewRomanPSMT" w:cs="TimesNewRomanPSMT"/>
          <w:b/>
          <w:bCs/>
          <w:sz w:val="24"/>
          <w:szCs w:val="24"/>
        </w:rPr>
      </w:pPr>
      <w:r>
        <w:rPr>
          <w:rFonts w:eastAsia="TimesNewRomanPSMT" w:cs="TimesNewRomanPSMT"/>
          <w:b/>
          <w:bCs/>
          <w:sz w:val="24"/>
          <w:szCs w:val="24"/>
        </w:rPr>
        <w:t>Consultation Fees</w:t>
      </w:r>
    </w:p>
    <w:p w14:paraId="6618EFBD" w14:textId="77777777" w:rsidR="007E628C" w:rsidRDefault="007E628C" w:rsidP="007E628C">
      <w:pPr>
        <w:tabs>
          <w:tab w:val="left" w:pos="360"/>
        </w:tabs>
        <w:autoSpaceDE w:val="0"/>
        <w:ind w:left="360" w:hanging="360"/>
        <w:rPr>
          <w:rFonts w:eastAsia="TimesNewRomanPSMT" w:cs="TimesNewRomanPSMT"/>
          <w:b/>
          <w:bCs/>
          <w:sz w:val="24"/>
          <w:szCs w:val="24"/>
        </w:rPr>
      </w:pPr>
      <w:r>
        <w:rPr>
          <w:rFonts w:eastAsia="TimesNewRomanPSMT" w:cs="TimesNewRomanPSMT"/>
          <w:b/>
          <w:bCs/>
          <w:sz w:val="24"/>
          <w:szCs w:val="24"/>
        </w:rPr>
        <w:tab/>
      </w:r>
      <w:r>
        <w:rPr>
          <w:rFonts w:eastAsia="TimesNewRomanPSMT" w:cs="TimesNewRomanPSMT"/>
          <w:bCs/>
          <w:sz w:val="24"/>
          <w:szCs w:val="24"/>
        </w:rPr>
        <w:t xml:space="preserve">Fees are due at the time of service or within </w:t>
      </w:r>
      <w:r w:rsidR="00EB6A3B">
        <w:rPr>
          <w:rFonts w:eastAsia="TimesNewRomanPSMT" w:cs="TimesNewRomanPSMT"/>
          <w:bCs/>
          <w:sz w:val="24"/>
          <w:szCs w:val="24"/>
        </w:rPr>
        <w:t>36</w:t>
      </w:r>
      <w:bookmarkStart w:id="0" w:name="_GoBack"/>
      <w:bookmarkEnd w:id="0"/>
      <w:r>
        <w:rPr>
          <w:rFonts w:eastAsia="TimesNewRomanPSMT" w:cs="TimesNewRomanPSMT"/>
          <w:bCs/>
          <w:sz w:val="24"/>
          <w:szCs w:val="24"/>
        </w:rPr>
        <w:t xml:space="preserve"> hours of a TeleHealth visit. Payment instructions are typically included in the summary for TeleHealth visits and can be done electronically though Vemno, Zelle, CashApp or ApplePay. Please indicate your preference. Most Initial and Follow up visits are video calls. Some follow-up appointments may be conducted via phone.</w:t>
      </w:r>
      <w:r>
        <w:rPr>
          <w:rFonts w:eastAsia="TimesNewRomanPSMT" w:cs="TimesNewRomanPSMT"/>
          <w:b/>
          <w:bCs/>
          <w:sz w:val="24"/>
          <w:szCs w:val="24"/>
        </w:rPr>
        <w:br/>
      </w:r>
    </w:p>
    <w:tbl>
      <w:tblPr>
        <w:tblW w:w="0" w:type="auto"/>
        <w:tblInd w:w="1681" w:type="dxa"/>
        <w:tblLayout w:type="fixed"/>
        <w:tblCellMar>
          <w:top w:w="55" w:type="dxa"/>
          <w:left w:w="55" w:type="dxa"/>
          <w:bottom w:w="55" w:type="dxa"/>
          <w:right w:w="55" w:type="dxa"/>
        </w:tblCellMar>
        <w:tblLook w:val="0000" w:firstRow="0" w:lastRow="0" w:firstColumn="0" w:lastColumn="0" w:noHBand="0" w:noVBand="0"/>
      </w:tblPr>
      <w:tblGrid>
        <w:gridCol w:w="3460"/>
        <w:gridCol w:w="3339"/>
      </w:tblGrid>
      <w:tr w:rsidR="007E628C" w14:paraId="794D3B8A" w14:textId="77777777" w:rsidTr="000D3721">
        <w:trPr>
          <w:trHeight w:val="354"/>
        </w:trPr>
        <w:tc>
          <w:tcPr>
            <w:tcW w:w="6799" w:type="dxa"/>
            <w:gridSpan w:val="2"/>
            <w:tcBorders>
              <w:top w:val="single" w:sz="1" w:space="0" w:color="000000"/>
              <w:left w:val="single" w:sz="1" w:space="0" w:color="000000"/>
              <w:bottom w:val="single" w:sz="1" w:space="0" w:color="000000"/>
              <w:right w:val="single" w:sz="1" w:space="0" w:color="000000"/>
            </w:tcBorders>
            <w:shd w:val="clear" w:color="auto" w:fill="auto"/>
          </w:tcPr>
          <w:p w14:paraId="65B203EB" w14:textId="77777777" w:rsidR="007E628C" w:rsidRDefault="007E628C" w:rsidP="000D3721">
            <w:pPr>
              <w:pStyle w:val="TableContents"/>
              <w:jc w:val="center"/>
              <w:rPr>
                <w:rFonts w:eastAsia="TimesNewRomanPSMT" w:cs="TimesNewRomanPSMT"/>
                <w:b/>
                <w:bCs/>
                <w:sz w:val="24"/>
                <w:szCs w:val="24"/>
              </w:rPr>
            </w:pPr>
            <w:r>
              <w:rPr>
                <w:rFonts w:eastAsia="TimesNewRomanPSMT" w:cs="TimesNewRomanPSMT"/>
                <w:sz w:val="24"/>
                <w:szCs w:val="24"/>
              </w:rPr>
              <w:t xml:space="preserve">Phone or Video Consultation with </w:t>
            </w:r>
            <w:r>
              <w:rPr>
                <w:rFonts w:eastAsia="TimesNewRomanPSMT" w:cs="TimesNewRomanPSMT"/>
                <w:b/>
                <w:bCs/>
                <w:sz w:val="24"/>
                <w:szCs w:val="24"/>
              </w:rPr>
              <w:t>Julia Strickler,</w:t>
            </w:r>
            <w:r>
              <w:rPr>
                <w:rFonts w:eastAsia="TimesNewRomanPSMT" w:cs="TimesNewRomanPSMT"/>
                <w:sz w:val="24"/>
                <w:szCs w:val="24"/>
              </w:rPr>
              <w:t xml:space="preserve"> </w:t>
            </w:r>
            <w:r>
              <w:rPr>
                <w:rFonts w:eastAsia="TimesNewRomanPSMT" w:cs="TimesNewRomanPSMT"/>
                <w:b/>
                <w:bCs/>
                <w:sz w:val="24"/>
                <w:szCs w:val="24"/>
              </w:rPr>
              <w:t>ND</w:t>
            </w:r>
          </w:p>
        </w:tc>
      </w:tr>
      <w:tr w:rsidR="007E628C" w14:paraId="1358E9FD" w14:textId="77777777" w:rsidTr="000D3721">
        <w:trPr>
          <w:trHeight w:val="529"/>
        </w:trPr>
        <w:tc>
          <w:tcPr>
            <w:tcW w:w="3460" w:type="dxa"/>
            <w:tcBorders>
              <w:left w:val="single" w:sz="1" w:space="0" w:color="000000"/>
              <w:bottom w:val="single" w:sz="1" w:space="0" w:color="000000"/>
            </w:tcBorders>
            <w:shd w:val="clear" w:color="auto" w:fill="auto"/>
          </w:tcPr>
          <w:p w14:paraId="22F20FED"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Initial Visit</w:t>
            </w:r>
          </w:p>
          <w:p w14:paraId="3B59B510"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Or 75-90 minute follow up</w:t>
            </w:r>
          </w:p>
        </w:tc>
        <w:tc>
          <w:tcPr>
            <w:tcW w:w="3339" w:type="dxa"/>
            <w:tcBorders>
              <w:left w:val="single" w:sz="1" w:space="0" w:color="000000"/>
              <w:bottom w:val="single" w:sz="1" w:space="0" w:color="000000"/>
              <w:right w:val="single" w:sz="1" w:space="0" w:color="000000"/>
            </w:tcBorders>
            <w:shd w:val="clear" w:color="auto" w:fill="auto"/>
          </w:tcPr>
          <w:p w14:paraId="7B8408F7"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$235.00</w:t>
            </w:r>
          </w:p>
        </w:tc>
      </w:tr>
      <w:tr w:rsidR="007E628C" w14:paraId="71BFD3E2" w14:textId="77777777" w:rsidTr="000D3721">
        <w:trPr>
          <w:trHeight w:val="402"/>
        </w:trPr>
        <w:tc>
          <w:tcPr>
            <w:tcW w:w="3460" w:type="dxa"/>
            <w:tcBorders>
              <w:left w:val="single" w:sz="1" w:space="0" w:color="000000"/>
              <w:bottom w:val="single" w:sz="4" w:space="0" w:color="auto"/>
            </w:tcBorders>
            <w:shd w:val="clear" w:color="auto" w:fill="auto"/>
          </w:tcPr>
          <w:p w14:paraId="551544EF"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45-60 minutes</w:t>
            </w:r>
          </w:p>
        </w:tc>
        <w:tc>
          <w:tcPr>
            <w:tcW w:w="3339" w:type="dxa"/>
            <w:tcBorders>
              <w:left w:val="single" w:sz="1" w:space="0" w:color="000000"/>
              <w:bottom w:val="single" w:sz="4" w:space="0" w:color="auto"/>
              <w:right w:val="single" w:sz="1" w:space="0" w:color="000000"/>
            </w:tcBorders>
            <w:shd w:val="clear" w:color="auto" w:fill="auto"/>
          </w:tcPr>
          <w:p w14:paraId="2C025D3E"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$175.00</w:t>
            </w:r>
          </w:p>
        </w:tc>
      </w:tr>
      <w:tr w:rsidR="007E628C" w14:paraId="1EAFC138" w14:textId="77777777" w:rsidTr="000D3721">
        <w:trPr>
          <w:trHeight w:val="374"/>
        </w:trPr>
        <w:tc>
          <w:tcPr>
            <w:tcW w:w="3460" w:type="dxa"/>
            <w:tcBorders>
              <w:top w:val="single" w:sz="4" w:space="0" w:color="auto"/>
              <w:left w:val="single" w:sz="4" w:space="0" w:color="auto"/>
              <w:bottom w:val="single" w:sz="4" w:space="0" w:color="auto"/>
              <w:right w:val="single" w:sz="4" w:space="0" w:color="auto"/>
            </w:tcBorders>
            <w:shd w:val="clear" w:color="auto" w:fill="auto"/>
          </w:tcPr>
          <w:p w14:paraId="6730866D"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20-30 minutes</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4BA1F138"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$95.00</w:t>
            </w:r>
          </w:p>
        </w:tc>
      </w:tr>
      <w:tr w:rsidR="007E628C" w14:paraId="3B70408D" w14:textId="77777777" w:rsidTr="000D3721">
        <w:trPr>
          <w:trHeight w:val="374"/>
        </w:trPr>
        <w:tc>
          <w:tcPr>
            <w:tcW w:w="3460" w:type="dxa"/>
            <w:tcBorders>
              <w:top w:val="single" w:sz="4" w:space="0" w:color="auto"/>
              <w:left w:val="single" w:sz="4" w:space="0" w:color="auto"/>
              <w:bottom w:val="single" w:sz="4" w:space="0" w:color="auto"/>
              <w:right w:val="single" w:sz="4" w:space="0" w:color="auto"/>
            </w:tcBorders>
            <w:shd w:val="clear" w:color="auto" w:fill="auto"/>
          </w:tcPr>
          <w:p w14:paraId="57944CF2"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Less than 20 minutes</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6F58C451" w14:textId="77777777" w:rsidR="007E628C" w:rsidRDefault="007E628C" w:rsidP="000D3721">
            <w:pPr>
              <w:pStyle w:val="TableContents"/>
              <w:jc w:val="center"/>
              <w:rPr>
                <w:rFonts w:eastAsia="TimesNewRomanPSMT" w:cs="TimesNewRomanPSMT"/>
                <w:sz w:val="24"/>
                <w:szCs w:val="24"/>
              </w:rPr>
            </w:pPr>
            <w:r>
              <w:rPr>
                <w:rFonts w:eastAsia="TimesNewRomanPSMT" w:cs="TimesNewRomanPSMT"/>
                <w:sz w:val="24"/>
                <w:szCs w:val="24"/>
              </w:rPr>
              <w:t>$45.00</w:t>
            </w:r>
          </w:p>
        </w:tc>
      </w:tr>
    </w:tbl>
    <w:p w14:paraId="5C693511" w14:textId="77777777" w:rsidR="007E628C" w:rsidRDefault="007E628C" w:rsidP="007E628C">
      <w:pPr>
        <w:autoSpaceDE w:val="0"/>
        <w:rPr>
          <w:rFonts w:eastAsia="TimesNewRomanPSMT" w:cs="TimesNewRomanPSMT"/>
          <w:b/>
          <w:bCs/>
          <w:sz w:val="24"/>
          <w:szCs w:val="24"/>
        </w:rPr>
      </w:pPr>
    </w:p>
    <w:p w14:paraId="4B25B0D4" w14:textId="77777777" w:rsidR="007E628C" w:rsidRDefault="007E628C" w:rsidP="007E628C">
      <w:pPr>
        <w:autoSpaceDE w:val="0"/>
        <w:rPr>
          <w:rFonts w:eastAsia="TimesNewRomanPSMT" w:cs="TimesNewRomanPSMT"/>
          <w:b/>
          <w:bCs/>
          <w:sz w:val="24"/>
          <w:szCs w:val="24"/>
        </w:rPr>
      </w:pPr>
    </w:p>
    <w:p w14:paraId="7FFDA52E" w14:textId="77777777" w:rsidR="007E628C" w:rsidRDefault="007E628C" w:rsidP="007E628C">
      <w:pPr>
        <w:autoSpaceDE w:val="0"/>
        <w:rPr>
          <w:rFonts w:eastAsia="TimesNewRomanPSMT" w:cs="TimesNewRomanPSMT"/>
          <w:sz w:val="24"/>
          <w:szCs w:val="24"/>
        </w:rPr>
      </w:pPr>
      <w:r>
        <w:rPr>
          <w:rFonts w:eastAsia="TimesNewRomanPSMT" w:cs="TimesNewRomanPSMT"/>
          <w:b/>
          <w:bCs/>
          <w:sz w:val="24"/>
          <w:szCs w:val="24"/>
        </w:rPr>
        <w:t xml:space="preserve">Cancellation Policy  </w:t>
      </w:r>
      <w:r>
        <w:rPr>
          <w:rFonts w:eastAsia="TimesNewRomanPSMT" w:cs="TimesNewRomanPSMT"/>
          <w:sz w:val="24"/>
          <w:szCs w:val="24"/>
        </w:rPr>
        <w:br/>
      </w:r>
      <w:r>
        <w:rPr>
          <w:rFonts w:eastAsia="TimesNewRomanPSMT" w:cs="TimesNewRomanPSMT"/>
          <w:sz w:val="24"/>
          <w:szCs w:val="24"/>
        </w:rPr>
        <w:tab/>
        <w:t>There is a $50 charge for cancellations of less than 24 hou</w:t>
      </w:r>
      <w:r w:rsidR="00EB6A3B">
        <w:rPr>
          <w:rFonts w:eastAsia="TimesNewRomanPSMT" w:cs="TimesNewRomanPSMT"/>
          <w:sz w:val="24"/>
          <w:szCs w:val="24"/>
        </w:rPr>
        <w:t xml:space="preserve">rs or failure to show up for a </w:t>
      </w:r>
      <w:r>
        <w:rPr>
          <w:rFonts w:eastAsia="TimesNewRomanPSMT" w:cs="TimesNewRomanPSMT"/>
          <w:sz w:val="24"/>
          <w:szCs w:val="24"/>
        </w:rPr>
        <w:t xml:space="preserve">scheduled appointment.  </w:t>
      </w:r>
    </w:p>
    <w:p w14:paraId="40B6D2B1" w14:textId="77777777" w:rsidR="007E628C" w:rsidRDefault="007E628C" w:rsidP="007E628C">
      <w:pPr>
        <w:autoSpaceDE w:val="0"/>
        <w:rPr>
          <w:rFonts w:eastAsia="TimesNewRomanPSMT" w:cs="TimesNewRomanPSMT"/>
          <w:sz w:val="24"/>
          <w:szCs w:val="24"/>
        </w:rPr>
      </w:pPr>
    </w:p>
    <w:p w14:paraId="40BDA93E" w14:textId="77777777" w:rsidR="007E628C" w:rsidRDefault="007E628C" w:rsidP="007E628C">
      <w:pPr>
        <w:tabs>
          <w:tab w:val="left" w:pos="360"/>
        </w:tabs>
        <w:autoSpaceDE w:val="0"/>
        <w:ind w:left="360" w:hanging="360"/>
        <w:rPr>
          <w:rFonts w:eastAsia="TimesNewRomanPSMT" w:cs="TimesNewRomanPSMT"/>
          <w:sz w:val="24"/>
          <w:szCs w:val="24"/>
        </w:rPr>
      </w:pPr>
      <w:r>
        <w:rPr>
          <w:rFonts w:eastAsia="TimesNewRomanPSMT" w:cs="TimesNewRomanPSMT"/>
          <w:b/>
          <w:bCs/>
          <w:sz w:val="24"/>
          <w:szCs w:val="24"/>
        </w:rPr>
        <w:t xml:space="preserve">E-mail Policy </w:t>
      </w:r>
      <w:r>
        <w:rPr>
          <w:rFonts w:eastAsia="TimesNewRomanPSMT" w:cs="TimesNewRomanPSMT"/>
          <w:sz w:val="24"/>
          <w:szCs w:val="24"/>
        </w:rPr>
        <w:t xml:space="preserve"> </w:t>
      </w:r>
    </w:p>
    <w:p w14:paraId="47127A4D" w14:textId="77777777" w:rsidR="007E628C" w:rsidRPr="001D3095" w:rsidRDefault="007E628C" w:rsidP="007E628C">
      <w:pPr>
        <w:tabs>
          <w:tab w:val="left" w:pos="39"/>
        </w:tabs>
        <w:autoSpaceDE w:val="0"/>
        <w:ind w:left="39"/>
        <w:rPr>
          <w:rFonts w:eastAsia="TimesNewRomanPSMT" w:cs="TimesNewRomanPSMT"/>
          <w:sz w:val="24"/>
          <w:szCs w:val="24"/>
        </w:rPr>
      </w:pPr>
      <w:r>
        <w:rPr>
          <w:rFonts w:eastAsia="TimesNewRomanPSMT" w:cs="TimesNewRomanPSMT"/>
          <w:sz w:val="24"/>
          <w:szCs w:val="24"/>
        </w:rPr>
        <w:tab/>
        <w:t>E-mail may be used for answering brief, clarifying qu</w:t>
      </w:r>
      <w:r w:rsidR="00EB6A3B">
        <w:rPr>
          <w:rFonts w:eastAsia="TimesNewRomanPSMT" w:cs="TimesNewRomanPSMT"/>
          <w:sz w:val="24"/>
          <w:szCs w:val="24"/>
        </w:rPr>
        <w:t xml:space="preserve">estions at your practitioner's </w:t>
      </w:r>
      <w:r>
        <w:rPr>
          <w:rFonts w:eastAsia="TimesNewRomanPSMT" w:cs="TimesNewRomanPSMT"/>
          <w:sz w:val="24"/>
          <w:szCs w:val="24"/>
        </w:rPr>
        <w:t>discretion. If you are e-mailing about a new or more detai</w:t>
      </w:r>
      <w:r w:rsidR="00EB6A3B">
        <w:rPr>
          <w:rFonts w:eastAsia="TimesNewRomanPSMT" w:cs="TimesNewRomanPSMT"/>
          <w:sz w:val="24"/>
          <w:szCs w:val="24"/>
        </w:rPr>
        <w:t xml:space="preserve">led concern, you will be asked </w:t>
      </w:r>
      <w:r>
        <w:rPr>
          <w:rFonts w:eastAsia="TimesNewRomanPSMT" w:cs="TimesNewRomanPSMT"/>
          <w:sz w:val="24"/>
          <w:szCs w:val="24"/>
        </w:rPr>
        <w:t>to schedule a phone or office consultation to ensu</w:t>
      </w:r>
      <w:r w:rsidR="00EB6A3B">
        <w:rPr>
          <w:rFonts w:eastAsia="TimesNewRomanPSMT" w:cs="TimesNewRomanPSMT"/>
          <w:sz w:val="24"/>
          <w:szCs w:val="24"/>
        </w:rPr>
        <w:t xml:space="preserve">re effective communication and </w:t>
      </w:r>
      <w:r>
        <w:rPr>
          <w:rFonts w:eastAsia="TimesNewRomanPSMT" w:cs="TimesNewRomanPSMT"/>
          <w:sz w:val="24"/>
          <w:szCs w:val="24"/>
        </w:rPr>
        <w:t>comprehensive care.</w:t>
      </w:r>
      <w:r>
        <w:rPr>
          <w:rFonts w:eastAsia="TimesNewRomanPSMT" w:cs="TimesNewRomanPSMT"/>
          <w:b/>
          <w:bCs/>
          <w:sz w:val="24"/>
          <w:szCs w:val="24"/>
        </w:rPr>
        <w:tab/>
      </w:r>
      <w:r>
        <w:rPr>
          <w:rFonts w:eastAsia="TimesNewRomanPSMT" w:cs="TimesNewRomanPSMT"/>
          <w:b/>
          <w:bCs/>
          <w:sz w:val="24"/>
          <w:szCs w:val="24"/>
        </w:rPr>
        <w:tab/>
      </w:r>
      <w:r>
        <w:rPr>
          <w:rFonts w:eastAsia="TimesNewRomanPSMT" w:cs="TimesNewRomanPSMT"/>
          <w:b/>
          <w:bCs/>
          <w:sz w:val="24"/>
          <w:szCs w:val="24"/>
        </w:rPr>
        <w:tab/>
      </w:r>
    </w:p>
    <w:p w14:paraId="2AEAC074" w14:textId="77777777" w:rsidR="007E628C" w:rsidRDefault="007E628C" w:rsidP="007E628C">
      <w:pPr>
        <w:rPr>
          <w:rFonts w:eastAsia="TimesNewRomanPSMT" w:cs="TimesNewRomanPSMT"/>
          <w:b/>
          <w:bCs/>
          <w:sz w:val="24"/>
          <w:szCs w:val="24"/>
        </w:rPr>
      </w:pPr>
    </w:p>
    <w:p w14:paraId="0AE5EBE0" w14:textId="77777777" w:rsidR="007E628C" w:rsidRDefault="007E628C" w:rsidP="007E628C">
      <w:pPr>
        <w:tabs>
          <w:tab w:val="left" w:pos="1080"/>
        </w:tabs>
        <w:autoSpaceDE w:val="0"/>
        <w:ind w:left="1080" w:hanging="360"/>
        <w:rPr>
          <w:rFonts w:eastAsia="TimesNewRomanPSMT" w:cs="TimesNewRomanPSMT"/>
          <w:sz w:val="24"/>
          <w:szCs w:val="24"/>
        </w:rPr>
      </w:pPr>
      <w:r>
        <w:rPr>
          <w:rFonts w:eastAsia="TimesNewRomanPSMT" w:cs="TimesNewRomanPSMT"/>
          <w:sz w:val="24"/>
          <w:szCs w:val="24"/>
        </w:rPr>
        <w:tab/>
      </w:r>
    </w:p>
    <w:p w14:paraId="319699A9" w14:textId="77777777" w:rsidR="007E628C" w:rsidRDefault="007E628C" w:rsidP="007E628C">
      <w:pPr>
        <w:autoSpaceDE w:val="0"/>
        <w:rPr>
          <w:rFonts w:eastAsia="TimesNewRomanPSMT" w:cs="TimesNewRomanPSMT"/>
          <w:i/>
          <w:iCs/>
          <w:sz w:val="24"/>
          <w:szCs w:val="24"/>
        </w:rPr>
      </w:pPr>
    </w:p>
    <w:p w14:paraId="7991C574" w14:textId="77777777" w:rsidR="007E628C" w:rsidRDefault="007E628C" w:rsidP="007E628C">
      <w:pPr>
        <w:tabs>
          <w:tab w:val="left" w:pos="0"/>
        </w:tabs>
        <w:autoSpaceDE w:val="0"/>
        <w:ind w:firstLine="19"/>
        <w:jc w:val="center"/>
        <w:rPr>
          <w:rFonts w:eastAsia="TimesNewRomanPSMT" w:cs="TimesNewRomanPSMT"/>
          <w:i/>
          <w:iCs/>
        </w:rPr>
      </w:pPr>
      <w:r>
        <w:rPr>
          <w:rFonts w:eastAsia="TimesNewRomanPSMT" w:cs="TimesNewRomanPSMT"/>
          <w:i/>
          <w:iCs/>
        </w:rPr>
        <w:t xml:space="preserve">Costs of any laboratory tests are paid directly to the lab and do not include the fee for </w:t>
      </w:r>
      <w:r>
        <w:rPr>
          <w:rFonts w:eastAsia="TimesNewRomanPSMT" w:cs="TimesNewRomanPSMT"/>
          <w:i/>
          <w:iCs/>
        </w:rPr>
        <w:br/>
        <w:t>follow-up consultation to discuss the results.</w:t>
      </w:r>
    </w:p>
    <w:p w14:paraId="6850E3E8" w14:textId="77777777" w:rsidR="007E628C" w:rsidRDefault="007E628C" w:rsidP="007E628C">
      <w:pPr>
        <w:autoSpaceDE w:val="0"/>
        <w:rPr>
          <w:rFonts w:eastAsia="TimesNewRomanPSMT" w:cs="TimesNewRomanPSMT"/>
          <w:b/>
          <w:bCs/>
          <w:sz w:val="24"/>
          <w:szCs w:val="24"/>
        </w:rPr>
      </w:pPr>
    </w:p>
    <w:p w14:paraId="0244235C" w14:textId="77777777" w:rsidR="007E628C" w:rsidRDefault="007E628C" w:rsidP="007E628C">
      <w:pPr>
        <w:autoSpaceDE w:val="0"/>
        <w:rPr>
          <w:rFonts w:eastAsia="TimesNewRomanPSMT" w:cs="TimesNewRomanPSMT"/>
          <w:b/>
          <w:bCs/>
          <w:sz w:val="24"/>
          <w:szCs w:val="24"/>
        </w:rPr>
      </w:pPr>
    </w:p>
    <w:p w14:paraId="0B0D3F5D" w14:textId="77777777" w:rsidR="007E628C" w:rsidRDefault="007E628C" w:rsidP="007E628C">
      <w:pPr>
        <w:autoSpaceDE w:val="0"/>
        <w:rPr>
          <w:rFonts w:eastAsia="TimesNewRomanPSMT" w:cs="TimesNewRomanPSMT"/>
          <w:b/>
          <w:bCs/>
          <w:sz w:val="24"/>
          <w:szCs w:val="24"/>
        </w:rPr>
      </w:pPr>
    </w:p>
    <w:p w14:paraId="16449C72" w14:textId="77777777" w:rsidR="007E628C" w:rsidRDefault="007E628C" w:rsidP="007E628C">
      <w:pPr>
        <w:autoSpaceDE w:val="0"/>
        <w:rPr>
          <w:rFonts w:eastAsia="TimesNewRomanPSMT" w:cs="TimesNewRomanPSMT"/>
          <w:b/>
          <w:bCs/>
          <w:sz w:val="24"/>
          <w:szCs w:val="24"/>
        </w:rPr>
      </w:pPr>
      <w:r>
        <w:rPr>
          <w:rFonts w:eastAsia="TimesNewRomanPSMT" w:cs="TimesNewRomanPSMT"/>
          <w:b/>
          <w:bCs/>
          <w:sz w:val="24"/>
          <w:szCs w:val="24"/>
        </w:rPr>
        <w:br w:type="page"/>
      </w:r>
    </w:p>
    <w:p w14:paraId="61327AB9" w14:textId="77777777" w:rsidR="007E628C" w:rsidRDefault="007E628C" w:rsidP="007E628C">
      <w:pPr>
        <w:autoSpaceDE w:val="0"/>
        <w:jc w:val="center"/>
        <w:rPr>
          <w:rFonts w:eastAsia="TimesNewRomanPSMT" w:cs="TimesNewRomanPSMT"/>
          <w:b/>
          <w:bCs/>
          <w:sz w:val="24"/>
          <w:szCs w:val="24"/>
          <w:u w:val="single"/>
        </w:rPr>
      </w:pPr>
      <w:r>
        <w:rPr>
          <w:rFonts w:eastAsia="TimesNewRomanPSMT" w:cs="TimesNewRomanPSMT"/>
          <w:b/>
          <w:bCs/>
          <w:sz w:val="24"/>
          <w:szCs w:val="24"/>
          <w:u w:val="single"/>
        </w:rPr>
        <w:lastRenderedPageBreak/>
        <w:t>Privacy Notice Acknowledgement Form</w:t>
      </w:r>
    </w:p>
    <w:p w14:paraId="689AFA70" w14:textId="77777777" w:rsidR="007E628C" w:rsidRDefault="007E628C" w:rsidP="007E628C">
      <w:pPr>
        <w:autoSpaceDE w:val="0"/>
        <w:jc w:val="center"/>
        <w:rPr>
          <w:rFonts w:eastAsia="TimesNewRomanPSMT" w:cs="TimesNewRomanPSMT"/>
          <w:b/>
          <w:bCs/>
          <w:sz w:val="24"/>
          <w:szCs w:val="24"/>
          <w:u w:val="single"/>
        </w:rPr>
      </w:pPr>
    </w:p>
    <w:p w14:paraId="1C867A26" w14:textId="77777777" w:rsidR="007E628C" w:rsidRDefault="007E628C" w:rsidP="007E628C">
      <w:pPr>
        <w:autoSpaceDE w:val="0"/>
        <w:rPr>
          <w:rFonts w:eastAsia="TimesNewRomanPSMT" w:cs="TimesNewRomanPSMT"/>
          <w:sz w:val="24"/>
          <w:szCs w:val="24"/>
        </w:rPr>
      </w:pPr>
      <w:r>
        <w:rPr>
          <w:rFonts w:eastAsia="TimesNewRomanPSMT" w:cs="TimesNewRomanPSMT"/>
          <w:sz w:val="24"/>
          <w:szCs w:val="24"/>
        </w:rPr>
        <w:t>The Federal Health Insurance and Portability and Accountability Act (HIPAA) regulates how health care providers may use and disclose health information, and also requires that patients be notified of the provider’s privacy practices.</w:t>
      </w:r>
    </w:p>
    <w:p w14:paraId="6E08C703" w14:textId="77777777" w:rsidR="007E628C" w:rsidRDefault="007E628C" w:rsidP="007E628C">
      <w:pPr>
        <w:autoSpaceDE w:val="0"/>
        <w:rPr>
          <w:rFonts w:eastAsia="TimesNewRomanPSMT" w:cs="TimesNewRomanPSMT"/>
          <w:sz w:val="24"/>
          <w:szCs w:val="24"/>
        </w:rPr>
      </w:pPr>
    </w:p>
    <w:p w14:paraId="61C7BBAB" w14:textId="77777777" w:rsidR="007E628C" w:rsidRDefault="007E628C" w:rsidP="007E628C">
      <w:pPr>
        <w:autoSpaceDE w:val="0"/>
        <w:rPr>
          <w:rFonts w:eastAsia="TimesNewRomanPSMT" w:cs="TimesNewRomanPSMT"/>
          <w:sz w:val="24"/>
          <w:szCs w:val="24"/>
        </w:rPr>
      </w:pPr>
      <w:r>
        <w:rPr>
          <w:rFonts w:eastAsia="TimesNewRomanPSMT" w:cs="TimesNewRomanPSMT"/>
          <w:sz w:val="24"/>
          <w:szCs w:val="24"/>
        </w:rPr>
        <w:t>I, ___________________________, (</w:t>
      </w:r>
      <w:r>
        <w:rPr>
          <w:rFonts w:eastAsia="TimesNewRomanPSMT" w:cs="TimesNewRomanPSMT"/>
          <w:i/>
          <w:iCs/>
          <w:sz w:val="24"/>
          <w:szCs w:val="24"/>
        </w:rPr>
        <w:t>Printed Name of Patient or Patient’s Representative</w:t>
      </w:r>
      <w:r>
        <w:rPr>
          <w:rFonts w:eastAsia="TimesNewRomanPSMT" w:cs="TimesNewRomanPSMT"/>
          <w:sz w:val="24"/>
          <w:szCs w:val="24"/>
        </w:rPr>
        <w:t>), acknowledge receipt of the “Privacy Notice Acknowledgement Form” and “Wellness Consultation Policy”.</w:t>
      </w:r>
    </w:p>
    <w:p w14:paraId="46777972" w14:textId="77777777" w:rsidR="007E628C" w:rsidRDefault="007E628C" w:rsidP="007E628C">
      <w:pPr>
        <w:autoSpaceDE w:val="0"/>
        <w:rPr>
          <w:rFonts w:eastAsia="TimesNewRomanPSMT" w:cs="TimesNewRomanPSMT"/>
          <w:sz w:val="24"/>
          <w:szCs w:val="24"/>
        </w:rPr>
      </w:pPr>
    </w:p>
    <w:p w14:paraId="707ADA96" w14:textId="77777777" w:rsidR="007E628C" w:rsidRDefault="007E628C" w:rsidP="007E628C">
      <w:pPr>
        <w:autoSpaceDE w:val="0"/>
        <w:rPr>
          <w:rFonts w:eastAsia="TimesNewRomanPSMT" w:cs="TimesNewRomanPSMT"/>
          <w:sz w:val="24"/>
          <w:szCs w:val="24"/>
        </w:rPr>
      </w:pPr>
      <w:r>
        <w:rPr>
          <w:rFonts w:eastAsia="TimesNewRomanPSMT" w:cs="TimesNewRomanPSMT"/>
          <w:sz w:val="24"/>
          <w:szCs w:val="24"/>
        </w:rPr>
        <w:t>__________________________________________</w:t>
      </w:r>
      <w:r>
        <w:rPr>
          <w:rFonts w:eastAsia="TimesNewRomanPSMT" w:cs="TimesNewRomanPSMT"/>
          <w:sz w:val="24"/>
          <w:szCs w:val="24"/>
        </w:rPr>
        <w:tab/>
      </w:r>
      <w:r>
        <w:rPr>
          <w:rFonts w:eastAsia="TimesNewRomanPSMT" w:cs="TimesNewRomanPSMT"/>
          <w:sz w:val="24"/>
          <w:szCs w:val="24"/>
        </w:rPr>
        <w:tab/>
        <w:t>_____________________________</w:t>
      </w:r>
    </w:p>
    <w:p w14:paraId="342093F8" w14:textId="77777777" w:rsidR="007E628C" w:rsidRDefault="007E628C" w:rsidP="007E628C">
      <w:pPr>
        <w:autoSpaceDE w:val="0"/>
        <w:rPr>
          <w:rFonts w:eastAsia="TimesNewRomanPSMT" w:cs="TimesNewRomanPSMT"/>
          <w:sz w:val="24"/>
          <w:szCs w:val="24"/>
        </w:rPr>
      </w:pPr>
      <w:r>
        <w:rPr>
          <w:rFonts w:eastAsia="TimesNewRomanPSMT" w:cs="TimesNewRomanPSMT"/>
          <w:sz w:val="24"/>
          <w:szCs w:val="24"/>
        </w:rPr>
        <w:t>Signature (</w:t>
      </w:r>
      <w:r>
        <w:rPr>
          <w:rFonts w:eastAsia="TimesNewRomanPSMT" w:cs="TimesNewRomanPSMT"/>
          <w:i/>
          <w:iCs/>
          <w:sz w:val="24"/>
          <w:szCs w:val="24"/>
        </w:rPr>
        <w:t>Patient or Patient’s Representative</w:t>
      </w:r>
      <w:r>
        <w:rPr>
          <w:rFonts w:eastAsia="TimesNewRomanPSMT" w:cs="TimesNewRomanPSMT"/>
          <w:sz w:val="24"/>
          <w:szCs w:val="24"/>
        </w:rPr>
        <w:t>)</w:t>
      </w:r>
      <w:r>
        <w:rPr>
          <w:rFonts w:eastAsia="TimesNewRomanPSMT" w:cs="TimesNewRomanPSMT"/>
          <w:sz w:val="24"/>
          <w:szCs w:val="24"/>
        </w:rPr>
        <w:tab/>
      </w:r>
      <w:r>
        <w:rPr>
          <w:rFonts w:eastAsia="TimesNewRomanPSMT" w:cs="TimesNewRomanPSMT"/>
          <w:sz w:val="24"/>
          <w:szCs w:val="24"/>
        </w:rPr>
        <w:tab/>
      </w:r>
      <w:r>
        <w:rPr>
          <w:rFonts w:eastAsia="TimesNewRomanPSMT" w:cs="TimesNewRomanPSMT"/>
          <w:sz w:val="24"/>
          <w:szCs w:val="24"/>
        </w:rPr>
        <w:tab/>
        <w:t>Date</w:t>
      </w:r>
    </w:p>
    <w:p w14:paraId="60D96516" w14:textId="77777777" w:rsidR="007E628C" w:rsidRDefault="007E628C" w:rsidP="007E628C">
      <w:pPr>
        <w:autoSpaceDE w:val="0"/>
        <w:rPr>
          <w:rFonts w:eastAsia="TimesNewRomanPSMT" w:cs="TimesNewRomanPSMT"/>
          <w:sz w:val="24"/>
          <w:szCs w:val="24"/>
        </w:rPr>
      </w:pPr>
    </w:p>
    <w:p w14:paraId="0F07EE96" w14:textId="77777777" w:rsidR="007E628C" w:rsidRDefault="007E628C" w:rsidP="007E628C">
      <w:pPr>
        <w:autoSpaceDE w:val="0"/>
        <w:ind w:firstLine="450"/>
        <w:jc w:val="center"/>
        <w:rPr>
          <w:rFonts w:eastAsia="ArialMT" w:cs="ArialMT"/>
          <w:b/>
          <w:bCs/>
          <w:sz w:val="24"/>
          <w:szCs w:val="24"/>
          <w:u w:val="single"/>
        </w:rPr>
      </w:pPr>
    </w:p>
    <w:p w14:paraId="3E58B20E" w14:textId="77777777" w:rsidR="007E628C" w:rsidRDefault="007E628C" w:rsidP="007E628C">
      <w:pPr>
        <w:autoSpaceDE w:val="0"/>
        <w:ind w:firstLine="450"/>
        <w:jc w:val="center"/>
        <w:rPr>
          <w:rFonts w:eastAsia="ArialMT" w:cs="ArialMT"/>
          <w:b/>
          <w:bCs/>
          <w:sz w:val="24"/>
          <w:szCs w:val="24"/>
          <w:u w:val="single"/>
        </w:rPr>
      </w:pPr>
    </w:p>
    <w:p w14:paraId="6BB39A73" w14:textId="77777777" w:rsidR="007E628C" w:rsidRDefault="007E628C" w:rsidP="007E628C">
      <w:pPr>
        <w:autoSpaceDE w:val="0"/>
        <w:ind w:firstLine="450"/>
        <w:jc w:val="center"/>
        <w:rPr>
          <w:rFonts w:eastAsia="ArialMT" w:cs="ArialMT"/>
          <w:b/>
          <w:bCs/>
          <w:sz w:val="24"/>
          <w:szCs w:val="24"/>
          <w:u w:val="single"/>
        </w:rPr>
      </w:pPr>
      <w:r>
        <w:rPr>
          <w:rFonts w:eastAsia="ArialMT" w:cs="ArialMT"/>
          <w:b/>
          <w:bCs/>
          <w:sz w:val="24"/>
          <w:szCs w:val="24"/>
          <w:u w:val="single"/>
        </w:rPr>
        <w:t>Wellness Consultation Consent Form</w:t>
      </w:r>
    </w:p>
    <w:p w14:paraId="64392609" w14:textId="77777777" w:rsidR="007E628C" w:rsidRDefault="007E628C" w:rsidP="007E628C">
      <w:pPr>
        <w:autoSpaceDE w:val="0"/>
        <w:ind w:firstLine="450"/>
        <w:rPr>
          <w:rFonts w:eastAsia="ArialMT" w:cs="ArialMT"/>
          <w:sz w:val="24"/>
          <w:szCs w:val="24"/>
        </w:rPr>
      </w:pPr>
    </w:p>
    <w:p w14:paraId="7F7515A3" w14:textId="77777777" w:rsidR="007E628C" w:rsidRDefault="007E628C" w:rsidP="007E628C">
      <w:pPr>
        <w:autoSpaceDE w:val="0"/>
        <w:ind w:firstLine="450"/>
        <w:rPr>
          <w:rFonts w:eastAsia="ArialMT" w:cs="ArialMT"/>
          <w:sz w:val="24"/>
          <w:szCs w:val="24"/>
        </w:rPr>
      </w:pPr>
      <w:r>
        <w:rPr>
          <w:rFonts w:eastAsia="ArialMT" w:cs="ArialMT"/>
          <w:sz w:val="24"/>
          <w:szCs w:val="24"/>
        </w:rPr>
        <w:t>I hereby understand, agree, and attest to the following:</w:t>
      </w:r>
    </w:p>
    <w:p w14:paraId="49CBFD68" w14:textId="77777777" w:rsidR="007E628C" w:rsidRDefault="007E628C" w:rsidP="007E628C">
      <w:pPr>
        <w:autoSpaceDE w:val="0"/>
        <w:ind w:firstLine="450"/>
        <w:rPr>
          <w:rFonts w:eastAsia="ArialMT" w:cs="ArialMT"/>
          <w:sz w:val="24"/>
          <w:szCs w:val="24"/>
        </w:rPr>
      </w:pPr>
    </w:p>
    <w:p w14:paraId="31C56DE7" w14:textId="77777777" w:rsidR="007E628C" w:rsidRDefault="007E628C" w:rsidP="007E628C">
      <w:pPr>
        <w:autoSpaceDE w:val="0"/>
        <w:ind w:firstLine="450"/>
        <w:rPr>
          <w:rFonts w:eastAsia="ArialMT" w:cs="ArialMT"/>
          <w:sz w:val="24"/>
          <w:szCs w:val="24"/>
        </w:rPr>
      </w:pPr>
      <w:r>
        <w:rPr>
          <w:rFonts w:eastAsia="ArialMT" w:cs="ArialMT"/>
          <w:sz w:val="24"/>
          <w:szCs w:val="24"/>
        </w:rPr>
        <w:t>I fully understand that the Naturopath I am seeking is not a licensed physician in Texas, and I am not consulting for medical, diagnostic, or treatment procedures. The appointments do not involve the diagnosing, prognosticating, treating or prescribing of medicines or the treatment of disease, or any act which will constitute the practice of medicine in this state, for which a license is required.</w:t>
      </w:r>
    </w:p>
    <w:p w14:paraId="7E15F8B4" w14:textId="77777777" w:rsidR="007E628C" w:rsidRDefault="007E628C" w:rsidP="007E628C">
      <w:pPr>
        <w:autoSpaceDE w:val="0"/>
        <w:ind w:firstLine="450"/>
        <w:rPr>
          <w:rFonts w:eastAsia="ArialMT" w:cs="ArialMT"/>
          <w:sz w:val="24"/>
          <w:szCs w:val="24"/>
        </w:rPr>
      </w:pPr>
    </w:p>
    <w:p w14:paraId="2BF2FDAA" w14:textId="77777777" w:rsidR="007E628C" w:rsidRDefault="007E628C" w:rsidP="007E628C">
      <w:pPr>
        <w:autoSpaceDE w:val="0"/>
        <w:ind w:firstLine="450"/>
        <w:rPr>
          <w:rFonts w:eastAsia="ArialMT" w:cs="ArialMT"/>
          <w:color w:val="000000"/>
          <w:sz w:val="24"/>
          <w:szCs w:val="24"/>
        </w:rPr>
      </w:pPr>
      <w:r>
        <w:rPr>
          <w:rFonts w:eastAsia="ArialMT" w:cs="ArialMT"/>
          <w:color w:val="000000"/>
          <w:sz w:val="24"/>
          <w:szCs w:val="24"/>
        </w:rPr>
        <w:t>Since the Wellness Consultant is not a medical doctor or primary care physician, it is recommended that I continue services with my primary care physician.</w:t>
      </w:r>
    </w:p>
    <w:p w14:paraId="23FA285E" w14:textId="77777777" w:rsidR="007E628C" w:rsidRDefault="007E628C" w:rsidP="007E628C">
      <w:pPr>
        <w:autoSpaceDE w:val="0"/>
        <w:ind w:firstLine="450"/>
        <w:rPr>
          <w:rFonts w:eastAsia="ArialMT" w:cs="ArialMT"/>
          <w:sz w:val="24"/>
          <w:szCs w:val="24"/>
        </w:rPr>
      </w:pPr>
    </w:p>
    <w:p w14:paraId="4EEB6E2C" w14:textId="77777777" w:rsidR="007E628C" w:rsidRDefault="007E628C" w:rsidP="007E628C">
      <w:pPr>
        <w:autoSpaceDE w:val="0"/>
        <w:ind w:firstLine="450"/>
        <w:rPr>
          <w:rFonts w:eastAsia="ArialMT" w:cs="ArialMT"/>
          <w:sz w:val="24"/>
          <w:szCs w:val="24"/>
        </w:rPr>
      </w:pPr>
      <w:r>
        <w:rPr>
          <w:rFonts w:eastAsia="ArialMT" w:cs="ArialMT"/>
          <w:sz w:val="24"/>
          <w:szCs w:val="24"/>
        </w:rPr>
        <w:t>The services offered by the Wellness Consultant are at all times restricted to helping me gain a better understanding of ‘health’ (not disease), so that I will have greater self-awareness and be able to use a self-care plan for daily living.</w:t>
      </w:r>
    </w:p>
    <w:p w14:paraId="38EE6786" w14:textId="77777777" w:rsidR="007E628C" w:rsidRDefault="007E628C" w:rsidP="007E628C">
      <w:pPr>
        <w:autoSpaceDE w:val="0"/>
        <w:ind w:firstLine="450"/>
        <w:rPr>
          <w:rFonts w:eastAsia="ArialMT" w:cs="ArialMT"/>
          <w:sz w:val="24"/>
          <w:szCs w:val="24"/>
        </w:rPr>
      </w:pPr>
    </w:p>
    <w:p w14:paraId="2D065BD8" w14:textId="77777777" w:rsidR="007E628C" w:rsidRDefault="007E628C" w:rsidP="007E628C">
      <w:pPr>
        <w:autoSpaceDE w:val="0"/>
        <w:ind w:firstLine="450"/>
        <w:rPr>
          <w:rFonts w:eastAsia="ArialMT" w:cs="ArialMT"/>
          <w:sz w:val="24"/>
          <w:szCs w:val="24"/>
        </w:rPr>
      </w:pPr>
      <w:r>
        <w:rPr>
          <w:rFonts w:eastAsia="ArialMT" w:cs="ArialMT"/>
          <w:sz w:val="24"/>
          <w:szCs w:val="24"/>
        </w:rPr>
        <w:t>The wellness plan offered (which may include discussion and or sale of nutritional supplements, nutrition and lifestyle modifications, homeopathic remedies, vitamins, minerals, food grade herbs, and other dietary supplements) pertains to the whole body concept of nutrition rather than addressing a specific ailment or condition.</w:t>
      </w:r>
    </w:p>
    <w:p w14:paraId="67FE30FA" w14:textId="77777777" w:rsidR="007E628C" w:rsidRDefault="007E628C" w:rsidP="007E628C">
      <w:pPr>
        <w:autoSpaceDE w:val="0"/>
        <w:ind w:firstLine="450"/>
        <w:rPr>
          <w:rFonts w:eastAsia="ArialMT" w:cs="ArialMT"/>
          <w:sz w:val="24"/>
          <w:szCs w:val="24"/>
        </w:rPr>
      </w:pPr>
    </w:p>
    <w:p w14:paraId="1DA9D9EA" w14:textId="77777777" w:rsidR="007E628C" w:rsidRDefault="007E628C" w:rsidP="007E628C">
      <w:pPr>
        <w:autoSpaceDE w:val="0"/>
        <w:ind w:firstLine="450"/>
        <w:rPr>
          <w:rFonts w:eastAsia="ArialMT" w:cs="ArialMT"/>
          <w:sz w:val="24"/>
          <w:szCs w:val="24"/>
        </w:rPr>
      </w:pPr>
      <w:r>
        <w:rPr>
          <w:rFonts w:eastAsia="ArialMT" w:cs="ArialMT"/>
          <w:sz w:val="24"/>
          <w:szCs w:val="24"/>
        </w:rPr>
        <w:t>The Wellness Consultant does not provide emergency or after-hours care.  In the event of an emergency, I will dial 911 or proceed to the nearest emergency room.</w:t>
      </w:r>
    </w:p>
    <w:p w14:paraId="1819997C" w14:textId="77777777" w:rsidR="007E628C" w:rsidRDefault="007E628C" w:rsidP="007E628C">
      <w:pPr>
        <w:autoSpaceDE w:val="0"/>
        <w:ind w:firstLine="450"/>
        <w:rPr>
          <w:rFonts w:eastAsia="ArialMT" w:cs="ArialMT"/>
          <w:sz w:val="24"/>
          <w:szCs w:val="24"/>
        </w:rPr>
      </w:pPr>
    </w:p>
    <w:p w14:paraId="2921FBB8" w14:textId="77777777" w:rsidR="007E628C" w:rsidRDefault="007E628C" w:rsidP="007E628C">
      <w:pPr>
        <w:autoSpaceDE w:val="0"/>
        <w:ind w:firstLine="450"/>
        <w:rPr>
          <w:rFonts w:eastAsia="ArialMT" w:cs="ArialMT"/>
          <w:sz w:val="24"/>
          <w:szCs w:val="24"/>
        </w:rPr>
      </w:pPr>
      <w:r>
        <w:rPr>
          <w:rFonts w:eastAsia="ArialMT" w:cs="ArialMT"/>
          <w:sz w:val="24"/>
          <w:szCs w:val="24"/>
        </w:rPr>
        <w:t xml:space="preserve">Laboratory testing may be conducted for screening purposes only and does not constitute a diagnosis of any medical condition.  It is my responsibility to follow up with a medical doctor if any of the lab results are abnormal. </w:t>
      </w:r>
    </w:p>
    <w:p w14:paraId="17C29B3C" w14:textId="77777777" w:rsidR="007E628C" w:rsidRDefault="007E628C" w:rsidP="007E628C">
      <w:pPr>
        <w:autoSpaceDE w:val="0"/>
        <w:ind w:firstLine="450"/>
        <w:rPr>
          <w:rFonts w:eastAsia="ArialMT" w:cs="ArialMT"/>
          <w:sz w:val="24"/>
          <w:szCs w:val="24"/>
        </w:rPr>
      </w:pPr>
    </w:p>
    <w:p w14:paraId="1FCA1B06" w14:textId="77777777" w:rsidR="007E628C" w:rsidRDefault="007E628C" w:rsidP="007E628C">
      <w:pPr>
        <w:autoSpaceDE w:val="0"/>
        <w:ind w:firstLine="450"/>
        <w:rPr>
          <w:rFonts w:eastAsia="ArialMT" w:cs="ArialMT"/>
          <w:sz w:val="24"/>
          <w:szCs w:val="24"/>
        </w:rPr>
      </w:pPr>
      <w:r>
        <w:rPr>
          <w:rFonts w:eastAsia="ArialMT" w:cs="ArialMT"/>
          <w:sz w:val="24"/>
          <w:szCs w:val="24"/>
        </w:rPr>
        <w:t>Women who are pregnant or planning pregnancy must inform their Wellness Consultant, as this will likely alter the recommendations that are made.</w:t>
      </w:r>
    </w:p>
    <w:p w14:paraId="277B80EF" w14:textId="77777777" w:rsidR="007E628C" w:rsidRDefault="007E628C" w:rsidP="007E628C">
      <w:pPr>
        <w:autoSpaceDE w:val="0"/>
        <w:ind w:firstLine="450"/>
        <w:rPr>
          <w:rFonts w:eastAsia="ArialMT" w:cs="ArialMT"/>
          <w:sz w:val="24"/>
          <w:szCs w:val="24"/>
        </w:rPr>
      </w:pPr>
    </w:p>
    <w:p w14:paraId="480E1CCD" w14:textId="77777777" w:rsidR="007E628C" w:rsidRDefault="007E628C" w:rsidP="007E628C">
      <w:pPr>
        <w:autoSpaceDE w:val="0"/>
        <w:ind w:firstLine="450"/>
        <w:rPr>
          <w:rFonts w:eastAsia="ArialMT" w:cs="ArialMT"/>
          <w:sz w:val="24"/>
          <w:szCs w:val="24"/>
        </w:rPr>
      </w:pPr>
      <w:r>
        <w:rPr>
          <w:rFonts w:eastAsia="ArialMT" w:cs="ArialMT"/>
          <w:sz w:val="24"/>
          <w:szCs w:val="24"/>
        </w:rPr>
        <w:t>Since they are not prescribing physicians, the Wellness Consultants will not be able to advise me to discontinue or change doses of my medications.  I am advised to consult with my prescribing physician concerning any modifications of my pharmaceutical medications.</w:t>
      </w:r>
    </w:p>
    <w:p w14:paraId="6073C55A" w14:textId="77777777" w:rsidR="007E628C" w:rsidRDefault="007E628C" w:rsidP="007E628C">
      <w:pPr>
        <w:autoSpaceDE w:val="0"/>
        <w:ind w:firstLine="450"/>
        <w:rPr>
          <w:rFonts w:eastAsia="ArialMT" w:cs="ArialMT"/>
          <w:sz w:val="24"/>
          <w:szCs w:val="24"/>
        </w:rPr>
      </w:pPr>
    </w:p>
    <w:p w14:paraId="54670894" w14:textId="77777777" w:rsidR="007E628C" w:rsidRDefault="007E628C" w:rsidP="007E628C">
      <w:pPr>
        <w:autoSpaceDE w:val="0"/>
        <w:ind w:firstLine="450"/>
        <w:rPr>
          <w:rFonts w:eastAsia="ArialMT" w:cs="ArialMT"/>
          <w:sz w:val="24"/>
          <w:szCs w:val="24"/>
        </w:rPr>
      </w:pPr>
      <w:r>
        <w:rPr>
          <w:rFonts w:eastAsia="ArialMT" w:cs="ArialMT"/>
          <w:sz w:val="24"/>
          <w:szCs w:val="24"/>
        </w:rPr>
        <w:t>Potential benefits of following a wellness plan include health optimization, symptomatic relief, and disease prevention.  Potential risks include rare allergic reactions, paradoxical reactions to supplements (example: valerian is a relaxing herb for most people, but it is stimulating in some people), and drug-supplement interactions.  Although there is a growing body of information regarding such interactions, I understand that not all drug-supplement interactions are known at this time.</w:t>
      </w:r>
    </w:p>
    <w:p w14:paraId="0FC0EB69" w14:textId="77777777" w:rsidR="007E628C" w:rsidRDefault="007E628C" w:rsidP="007E628C">
      <w:pPr>
        <w:autoSpaceDE w:val="0"/>
        <w:ind w:firstLine="450"/>
        <w:rPr>
          <w:rFonts w:eastAsia="ArialMT" w:cs="ArialMT"/>
          <w:sz w:val="24"/>
          <w:szCs w:val="24"/>
        </w:rPr>
      </w:pPr>
    </w:p>
    <w:p w14:paraId="7713E638" w14:textId="77777777" w:rsidR="007E628C" w:rsidRDefault="007E628C" w:rsidP="007E628C">
      <w:pPr>
        <w:autoSpaceDE w:val="0"/>
        <w:ind w:firstLine="450"/>
        <w:rPr>
          <w:rFonts w:eastAsia="ArialMT" w:cs="ArialMT"/>
          <w:sz w:val="24"/>
          <w:szCs w:val="24"/>
        </w:rPr>
      </w:pPr>
      <w:r>
        <w:rPr>
          <w:rFonts w:eastAsia="ArialMT" w:cs="ArialMT"/>
          <w:sz w:val="24"/>
          <w:szCs w:val="24"/>
        </w:rPr>
        <w:t>There are wide individual differences in response to a wellness plan, and no guarantees are made that I will gain any benefit nor suffer any adverse consequences.</w:t>
      </w:r>
    </w:p>
    <w:p w14:paraId="5173F2B2" w14:textId="77777777" w:rsidR="007E628C" w:rsidRDefault="007E628C" w:rsidP="007E628C">
      <w:pPr>
        <w:autoSpaceDE w:val="0"/>
        <w:ind w:firstLine="450"/>
        <w:rPr>
          <w:rFonts w:eastAsia="ArialMT" w:cs="ArialMT"/>
          <w:sz w:val="24"/>
          <w:szCs w:val="24"/>
        </w:rPr>
      </w:pPr>
    </w:p>
    <w:p w14:paraId="68327658" w14:textId="77777777" w:rsidR="007E628C" w:rsidRDefault="007E628C" w:rsidP="007E628C">
      <w:pPr>
        <w:autoSpaceDE w:val="0"/>
        <w:ind w:firstLine="450"/>
        <w:rPr>
          <w:rFonts w:eastAsia="ArialMT" w:cs="ArialMT"/>
          <w:sz w:val="24"/>
          <w:szCs w:val="24"/>
        </w:rPr>
      </w:pPr>
      <w:r>
        <w:rPr>
          <w:rFonts w:eastAsia="ArialMT" w:cs="ArialMT"/>
          <w:sz w:val="24"/>
          <w:szCs w:val="24"/>
        </w:rPr>
        <w:t>While I may experience immediate benefits from the wellness plan, I understand that the most effective results will occur when I make a long-term commitment to rebuild my health, which will likely involve some lifestyle modifications.</w:t>
      </w:r>
    </w:p>
    <w:p w14:paraId="72F30C72" w14:textId="77777777" w:rsidR="007E628C" w:rsidRDefault="007E628C" w:rsidP="007E628C">
      <w:pPr>
        <w:autoSpaceDE w:val="0"/>
        <w:rPr>
          <w:rFonts w:eastAsia="ArialMT" w:cs="ArialMT"/>
          <w:sz w:val="24"/>
          <w:szCs w:val="24"/>
        </w:rPr>
      </w:pPr>
    </w:p>
    <w:p w14:paraId="713162A1" w14:textId="77777777" w:rsidR="007E628C" w:rsidRDefault="007E628C" w:rsidP="007E628C">
      <w:pPr>
        <w:autoSpaceDE w:val="0"/>
        <w:rPr>
          <w:rFonts w:eastAsia="ArialMT" w:cs="ArialMT"/>
          <w:sz w:val="24"/>
          <w:szCs w:val="24"/>
        </w:rPr>
      </w:pPr>
    </w:p>
    <w:p w14:paraId="0EA1A604" w14:textId="77777777" w:rsidR="007E628C" w:rsidRDefault="007E628C" w:rsidP="007E628C">
      <w:pPr>
        <w:autoSpaceDE w:val="0"/>
        <w:rPr>
          <w:rFonts w:eastAsia="ArialMT" w:cs="ArialMT"/>
          <w:sz w:val="24"/>
          <w:szCs w:val="24"/>
        </w:rPr>
      </w:pPr>
    </w:p>
    <w:p w14:paraId="6A6A8DBD" w14:textId="77777777" w:rsidR="007E628C" w:rsidRDefault="007E628C" w:rsidP="007E628C">
      <w:pPr>
        <w:autoSpaceDE w:val="0"/>
        <w:rPr>
          <w:rFonts w:eastAsia="ArialMT" w:cs="ArialMT"/>
          <w:sz w:val="24"/>
          <w:szCs w:val="24"/>
        </w:rPr>
      </w:pPr>
      <w:r>
        <w:rPr>
          <w:rFonts w:eastAsia="ArialMT" w:cs="ArialMT"/>
          <w:sz w:val="24"/>
          <w:szCs w:val="24"/>
        </w:rPr>
        <w:t>____________________________________________</w:t>
      </w:r>
      <w:r>
        <w:rPr>
          <w:rFonts w:eastAsia="ArialMT" w:cs="ArialMT"/>
          <w:sz w:val="24"/>
          <w:szCs w:val="24"/>
        </w:rPr>
        <w:tab/>
      </w:r>
      <w:r>
        <w:rPr>
          <w:rFonts w:eastAsia="ArialMT" w:cs="ArialMT"/>
          <w:sz w:val="24"/>
          <w:szCs w:val="24"/>
        </w:rPr>
        <w:tab/>
        <w:t>_____________________________</w:t>
      </w:r>
    </w:p>
    <w:p w14:paraId="14CC84E6" w14:textId="77777777" w:rsidR="007E628C" w:rsidRDefault="007E628C" w:rsidP="007E628C">
      <w:pPr>
        <w:autoSpaceDE w:val="0"/>
        <w:rPr>
          <w:rFonts w:eastAsia="ArialMT" w:cs="ArialMT"/>
          <w:sz w:val="24"/>
          <w:szCs w:val="24"/>
        </w:rPr>
      </w:pPr>
      <w:r>
        <w:rPr>
          <w:rFonts w:eastAsia="ArialMT" w:cs="ArialMT"/>
          <w:sz w:val="24"/>
          <w:szCs w:val="24"/>
        </w:rPr>
        <w:t>Signature of Client or Client’s Representative</w:t>
      </w:r>
      <w:r>
        <w:rPr>
          <w:rFonts w:eastAsia="ArialMT" w:cs="ArialMT"/>
          <w:sz w:val="24"/>
          <w:szCs w:val="24"/>
        </w:rPr>
        <w:tab/>
      </w:r>
      <w:r>
        <w:rPr>
          <w:rFonts w:eastAsia="ArialMT" w:cs="ArialMT"/>
          <w:sz w:val="24"/>
          <w:szCs w:val="24"/>
        </w:rPr>
        <w:tab/>
      </w:r>
      <w:r>
        <w:rPr>
          <w:rFonts w:eastAsia="ArialMT" w:cs="ArialMT"/>
          <w:sz w:val="24"/>
          <w:szCs w:val="24"/>
        </w:rPr>
        <w:tab/>
        <w:t>Date</w:t>
      </w:r>
    </w:p>
    <w:p w14:paraId="05131AFD" w14:textId="77777777" w:rsidR="007E628C" w:rsidRDefault="007E628C" w:rsidP="007E628C">
      <w:pPr>
        <w:autoSpaceDE w:val="0"/>
        <w:ind w:firstLine="450"/>
        <w:rPr>
          <w:rFonts w:eastAsia="ArialMT" w:cs="ArialMT"/>
          <w:sz w:val="24"/>
          <w:szCs w:val="24"/>
        </w:rPr>
      </w:pPr>
    </w:p>
    <w:p w14:paraId="48FF0E90" w14:textId="77777777" w:rsidR="007E628C" w:rsidRDefault="007E628C" w:rsidP="007E628C">
      <w:pPr>
        <w:autoSpaceDE w:val="0"/>
        <w:rPr>
          <w:rFonts w:eastAsia="ArialMT" w:cs="ArialMT"/>
          <w:sz w:val="24"/>
          <w:szCs w:val="24"/>
        </w:rPr>
      </w:pPr>
    </w:p>
    <w:p w14:paraId="7BDE7C0E" w14:textId="77777777" w:rsidR="007E628C" w:rsidRDefault="007E628C" w:rsidP="007E628C">
      <w:pPr>
        <w:autoSpaceDE w:val="0"/>
        <w:rPr>
          <w:rFonts w:eastAsia="ArialMT" w:cs="ArialMT"/>
          <w:sz w:val="24"/>
          <w:szCs w:val="24"/>
        </w:rPr>
      </w:pPr>
    </w:p>
    <w:p w14:paraId="214A2BCF" w14:textId="77777777" w:rsidR="007E628C" w:rsidRDefault="007E628C" w:rsidP="007E628C">
      <w:pPr>
        <w:autoSpaceDE w:val="0"/>
        <w:rPr>
          <w:rFonts w:eastAsia="ArialMT" w:cs="ArialMT"/>
          <w:sz w:val="24"/>
          <w:szCs w:val="24"/>
        </w:rPr>
      </w:pPr>
      <w:r>
        <w:rPr>
          <w:rFonts w:eastAsia="ArialMT" w:cs="ArialMT"/>
          <w:sz w:val="24"/>
          <w:szCs w:val="24"/>
        </w:rPr>
        <w:t>____________________________________________</w:t>
      </w:r>
      <w:r>
        <w:rPr>
          <w:rFonts w:eastAsia="ArialMT" w:cs="ArialMT"/>
          <w:sz w:val="24"/>
          <w:szCs w:val="24"/>
        </w:rPr>
        <w:tab/>
      </w:r>
      <w:r>
        <w:rPr>
          <w:rFonts w:eastAsia="ArialMT" w:cs="ArialMT"/>
          <w:sz w:val="24"/>
          <w:szCs w:val="24"/>
        </w:rPr>
        <w:tab/>
        <w:t>_____________________________</w:t>
      </w:r>
      <w:r>
        <w:rPr>
          <w:rFonts w:eastAsia="ArialMT" w:cs="ArialMT"/>
          <w:sz w:val="24"/>
          <w:szCs w:val="24"/>
        </w:rPr>
        <w:br/>
        <w:t>Printed Name of Client or Client’s Representative</w:t>
      </w:r>
      <w:r>
        <w:rPr>
          <w:rFonts w:eastAsia="ArialMT" w:cs="ArialMT"/>
          <w:sz w:val="24"/>
          <w:szCs w:val="24"/>
        </w:rPr>
        <w:tab/>
      </w:r>
      <w:r>
        <w:rPr>
          <w:rFonts w:eastAsia="ArialMT" w:cs="ArialMT"/>
          <w:sz w:val="24"/>
          <w:szCs w:val="24"/>
        </w:rPr>
        <w:tab/>
      </w:r>
      <w:r>
        <w:rPr>
          <w:rFonts w:eastAsia="ArialMT" w:cs="ArialMT"/>
          <w:sz w:val="24"/>
          <w:szCs w:val="24"/>
        </w:rPr>
        <w:tab/>
        <w:t>Date</w:t>
      </w:r>
    </w:p>
    <w:p w14:paraId="357F6E74" w14:textId="77777777" w:rsidR="007E628C" w:rsidRDefault="007E628C" w:rsidP="007E628C">
      <w:pPr>
        <w:autoSpaceDE w:val="0"/>
        <w:ind w:firstLine="450"/>
        <w:rPr>
          <w:rFonts w:eastAsia="ArialMT" w:cs="ArialMT"/>
          <w:sz w:val="24"/>
          <w:szCs w:val="24"/>
        </w:rPr>
      </w:pPr>
    </w:p>
    <w:p w14:paraId="74BD3234" w14:textId="77777777" w:rsidR="007E628C" w:rsidRDefault="007E628C" w:rsidP="007E628C">
      <w:pPr>
        <w:autoSpaceDE w:val="0"/>
        <w:ind w:firstLine="450"/>
        <w:rPr>
          <w:rFonts w:eastAsia="ArialMT" w:cs="ArialMT"/>
          <w:sz w:val="24"/>
          <w:szCs w:val="24"/>
        </w:rPr>
      </w:pPr>
    </w:p>
    <w:p w14:paraId="193BDB78" w14:textId="77777777" w:rsidR="007E628C" w:rsidRDefault="007E628C" w:rsidP="007E628C">
      <w:pPr>
        <w:autoSpaceDE w:val="0"/>
        <w:ind w:firstLine="450"/>
        <w:rPr>
          <w:rFonts w:eastAsia="ArialMT" w:cs="ArialMT"/>
          <w:sz w:val="24"/>
          <w:szCs w:val="24"/>
        </w:rPr>
      </w:pPr>
    </w:p>
    <w:p w14:paraId="285F57B2" w14:textId="77777777" w:rsidR="007E628C" w:rsidRDefault="007E628C" w:rsidP="007E628C">
      <w:pPr>
        <w:autoSpaceDE w:val="0"/>
        <w:rPr>
          <w:rFonts w:eastAsia="ArialMT" w:cs="ArialMT"/>
          <w:sz w:val="24"/>
          <w:szCs w:val="24"/>
        </w:rPr>
      </w:pPr>
      <w:r>
        <w:rPr>
          <w:rFonts w:eastAsia="ArialMT" w:cs="ArialMT"/>
          <w:sz w:val="24"/>
          <w:szCs w:val="24"/>
        </w:rPr>
        <w:t xml:space="preserve">________________________________     </w:t>
      </w:r>
      <w:r>
        <w:rPr>
          <w:rFonts w:eastAsia="ArialMT" w:cs="ArialMT"/>
          <w:sz w:val="24"/>
          <w:szCs w:val="24"/>
        </w:rPr>
        <w:tab/>
      </w:r>
      <w:r>
        <w:rPr>
          <w:rFonts w:eastAsia="ArialMT" w:cs="ArialMT"/>
          <w:sz w:val="24"/>
          <w:szCs w:val="24"/>
        </w:rPr>
        <w:tab/>
      </w:r>
      <w:r>
        <w:rPr>
          <w:rFonts w:eastAsia="ArialMT" w:cs="ArialMT"/>
          <w:sz w:val="24"/>
          <w:szCs w:val="24"/>
        </w:rPr>
        <w:tab/>
      </w:r>
      <w:r>
        <w:rPr>
          <w:rFonts w:eastAsia="ArialMT" w:cs="ArialMT"/>
          <w:sz w:val="24"/>
          <w:szCs w:val="24"/>
        </w:rPr>
        <w:tab/>
        <w:t>_____________________________</w:t>
      </w:r>
      <w:r>
        <w:rPr>
          <w:rFonts w:eastAsia="ArialMT" w:cs="ArialMT"/>
          <w:sz w:val="24"/>
          <w:szCs w:val="24"/>
        </w:rPr>
        <w:br/>
        <w:t>Phone Number</w:t>
      </w:r>
      <w:r>
        <w:rPr>
          <w:rFonts w:eastAsia="ArialMT" w:cs="ArialMT"/>
          <w:sz w:val="24"/>
          <w:szCs w:val="24"/>
        </w:rPr>
        <w:tab/>
      </w:r>
      <w:r>
        <w:rPr>
          <w:rFonts w:eastAsia="ArialMT" w:cs="ArialMT"/>
          <w:sz w:val="24"/>
          <w:szCs w:val="24"/>
        </w:rPr>
        <w:tab/>
      </w:r>
      <w:r>
        <w:rPr>
          <w:rFonts w:eastAsia="ArialMT" w:cs="ArialMT"/>
          <w:sz w:val="24"/>
          <w:szCs w:val="24"/>
        </w:rPr>
        <w:tab/>
      </w:r>
      <w:r>
        <w:rPr>
          <w:rFonts w:eastAsia="ArialMT" w:cs="ArialMT"/>
          <w:sz w:val="24"/>
          <w:szCs w:val="24"/>
        </w:rPr>
        <w:tab/>
      </w:r>
      <w:r>
        <w:rPr>
          <w:rFonts w:eastAsia="ArialMT" w:cs="ArialMT"/>
          <w:sz w:val="24"/>
          <w:szCs w:val="24"/>
        </w:rPr>
        <w:tab/>
      </w:r>
      <w:r>
        <w:rPr>
          <w:rFonts w:eastAsia="ArialMT" w:cs="ArialMT"/>
          <w:sz w:val="24"/>
          <w:szCs w:val="24"/>
        </w:rPr>
        <w:tab/>
      </w:r>
      <w:r>
        <w:rPr>
          <w:rFonts w:eastAsia="ArialMT" w:cs="ArialMT"/>
          <w:sz w:val="24"/>
          <w:szCs w:val="24"/>
        </w:rPr>
        <w:tab/>
        <w:t>Date</w:t>
      </w:r>
    </w:p>
    <w:p w14:paraId="6CB41DFB" w14:textId="77777777" w:rsidR="007E628C" w:rsidRDefault="007E628C" w:rsidP="007E628C">
      <w:pPr>
        <w:autoSpaceDE w:val="0"/>
        <w:rPr>
          <w:rFonts w:eastAsia="ArialMT" w:cs="ArialMT"/>
          <w:sz w:val="24"/>
          <w:szCs w:val="24"/>
        </w:rPr>
      </w:pPr>
    </w:p>
    <w:p w14:paraId="54EF099D" w14:textId="77777777" w:rsidR="007E628C" w:rsidRDefault="007E628C" w:rsidP="007E628C">
      <w:pPr>
        <w:autoSpaceDE w:val="0"/>
        <w:rPr>
          <w:rFonts w:eastAsia="ArialMT" w:cs="ArialMT"/>
          <w:sz w:val="24"/>
          <w:szCs w:val="24"/>
        </w:rPr>
      </w:pPr>
    </w:p>
    <w:p w14:paraId="7150A75F" w14:textId="77777777" w:rsidR="007E628C" w:rsidRDefault="007E628C" w:rsidP="007E628C">
      <w:pPr>
        <w:autoSpaceDE w:val="0"/>
        <w:rPr>
          <w:rFonts w:eastAsia="ArialMT" w:cs="ArialMT"/>
          <w:sz w:val="24"/>
          <w:szCs w:val="24"/>
        </w:rPr>
      </w:pPr>
    </w:p>
    <w:p w14:paraId="3E31D176" w14:textId="77777777" w:rsidR="007E628C" w:rsidRDefault="007E628C" w:rsidP="007E628C">
      <w:pPr>
        <w:autoSpaceDE w:val="0"/>
        <w:rPr>
          <w:rFonts w:eastAsia="ArialMT" w:cs="ArialMT"/>
          <w:sz w:val="24"/>
          <w:szCs w:val="24"/>
        </w:rPr>
      </w:pPr>
      <w:r>
        <w:rPr>
          <w:rFonts w:eastAsia="ArialMT" w:cs="ArialMT"/>
          <w:sz w:val="24"/>
          <w:szCs w:val="24"/>
        </w:rPr>
        <w:t>____________________________________________</w:t>
      </w:r>
      <w:r>
        <w:rPr>
          <w:rFonts w:eastAsia="ArialMT" w:cs="ArialMT"/>
          <w:sz w:val="24"/>
          <w:szCs w:val="24"/>
        </w:rPr>
        <w:br/>
        <w:t>Referred by:</w:t>
      </w:r>
    </w:p>
    <w:p w14:paraId="183D6FB7" w14:textId="77777777" w:rsidR="007E628C" w:rsidRDefault="007E628C" w:rsidP="007E628C">
      <w:pPr>
        <w:tabs>
          <w:tab w:val="center" w:pos="4320"/>
          <w:tab w:val="right" w:pos="8640"/>
        </w:tabs>
        <w:autoSpaceDE w:val="0"/>
        <w:rPr>
          <w:rFonts w:eastAsia="TimesNewRomanPSMT" w:cs="TimesNewRomanPSMT"/>
          <w:i/>
          <w:iCs/>
          <w:sz w:val="24"/>
          <w:szCs w:val="24"/>
        </w:rPr>
      </w:pPr>
    </w:p>
    <w:p w14:paraId="07F37CC7" w14:textId="77777777" w:rsidR="007E628C" w:rsidRDefault="007E628C" w:rsidP="007E628C">
      <w:pPr>
        <w:tabs>
          <w:tab w:val="center" w:pos="4320"/>
          <w:tab w:val="right" w:pos="8640"/>
        </w:tabs>
        <w:autoSpaceDE w:val="0"/>
        <w:rPr>
          <w:rFonts w:eastAsia="TimesNewRomanPSMT" w:cs="TimesNewRomanPSMT"/>
          <w:i/>
          <w:iCs/>
          <w:sz w:val="24"/>
          <w:szCs w:val="24"/>
        </w:rPr>
      </w:pPr>
    </w:p>
    <w:p w14:paraId="230681BC" w14:textId="77777777" w:rsidR="007E628C" w:rsidRDefault="007E628C" w:rsidP="007E628C">
      <w:pPr>
        <w:tabs>
          <w:tab w:val="center" w:pos="4320"/>
          <w:tab w:val="right" w:pos="8640"/>
        </w:tabs>
        <w:autoSpaceDE w:val="0"/>
        <w:rPr>
          <w:rFonts w:eastAsia="TimesNewRomanPSMT" w:cs="TimesNewRomanPSMT"/>
          <w:i/>
          <w:iCs/>
          <w:sz w:val="24"/>
          <w:szCs w:val="24"/>
        </w:rPr>
      </w:pPr>
    </w:p>
    <w:p w14:paraId="4BABDFEA" w14:textId="77777777" w:rsidR="007E628C" w:rsidRDefault="007E628C" w:rsidP="007E628C">
      <w:pPr>
        <w:tabs>
          <w:tab w:val="center" w:pos="4320"/>
          <w:tab w:val="right" w:pos="8640"/>
        </w:tabs>
        <w:autoSpaceDE w:val="0"/>
        <w:rPr>
          <w:rFonts w:eastAsia="TimesNewRomanPSMT" w:cs="TimesNewRomanPSMT"/>
          <w:i/>
          <w:iCs/>
          <w:sz w:val="24"/>
          <w:szCs w:val="24"/>
        </w:rPr>
      </w:pPr>
    </w:p>
    <w:p w14:paraId="1BB9ECF3" w14:textId="77777777" w:rsidR="007E628C" w:rsidRDefault="007E628C" w:rsidP="007E628C">
      <w:pPr>
        <w:tabs>
          <w:tab w:val="center" w:pos="4320"/>
          <w:tab w:val="right" w:pos="8640"/>
        </w:tabs>
        <w:autoSpaceDE w:val="0"/>
        <w:rPr>
          <w:rFonts w:eastAsia="TimesNewRomanPSMT" w:cs="TimesNewRomanPSMT"/>
          <w:i/>
          <w:iCs/>
          <w:sz w:val="24"/>
          <w:szCs w:val="24"/>
        </w:rPr>
      </w:pPr>
    </w:p>
    <w:p w14:paraId="46C3F10E" w14:textId="77777777" w:rsidR="007E628C" w:rsidRDefault="007E628C" w:rsidP="007E628C">
      <w:pPr>
        <w:tabs>
          <w:tab w:val="center" w:pos="4320"/>
          <w:tab w:val="right" w:pos="8640"/>
        </w:tabs>
        <w:autoSpaceDE w:val="0"/>
        <w:rPr>
          <w:rFonts w:eastAsia="TimesNewRomanPSMT" w:cs="TimesNewRomanPSMT"/>
          <w:i/>
          <w:iCs/>
          <w:sz w:val="24"/>
          <w:szCs w:val="24"/>
        </w:rPr>
      </w:pPr>
    </w:p>
    <w:p w14:paraId="66038A90" w14:textId="77777777" w:rsidR="007E628C" w:rsidRDefault="007E628C" w:rsidP="007E628C">
      <w:pPr>
        <w:tabs>
          <w:tab w:val="center" w:pos="4320"/>
          <w:tab w:val="right" w:pos="8640"/>
        </w:tabs>
        <w:autoSpaceDE w:val="0"/>
        <w:rPr>
          <w:rFonts w:eastAsia="TimesNewRomanPSMT" w:cs="TimesNewRomanPSMT"/>
          <w:i/>
          <w:iCs/>
          <w:sz w:val="24"/>
          <w:szCs w:val="24"/>
        </w:rPr>
      </w:pPr>
    </w:p>
    <w:p w14:paraId="30E7A668" w14:textId="77777777" w:rsidR="007E628C" w:rsidRDefault="007E628C" w:rsidP="007E628C">
      <w:pPr>
        <w:tabs>
          <w:tab w:val="center" w:pos="4320"/>
          <w:tab w:val="right" w:pos="8640"/>
        </w:tabs>
        <w:autoSpaceDE w:val="0"/>
        <w:rPr>
          <w:rFonts w:eastAsia="TimesNewRomanPSMT" w:cs="TimesNewRomanPSMT"/>
          <w:i/>
          <w:iCs/>
          <w:sz w:val="24"/>
          <w:szCs w:val="24"/>
        </w:rPr>
      </w:pPr>
      <w:r>
        <w:rPr>
          <w:rFonts w:eastAsia="TimesNewRomanPSMT" w:cs="TimesNewRomanPSMT"/>
          <w:i/>
          <w:iCs/>
          <w:noProof/>
          <w:sz w:val="24"/>
          <w:szCs w:val="24"/>
        </w:rPr>
        <w:drawing>
          <wp:inline distT="0" distB="0" distL="0" distR="0" wp14:anchorId="2AFF9096" wp14:editId="295A8C35">
            <wp:extent cx="8636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3600" cy="12700"/>
                    </a:xfrm>
                    <a:prstGeom prst="rect">
                      <a:avLst/>
                    </a:prstGeom>
                    <a:solidFill>
                      <a:srgbClr val="FFFFFF"/>
                    </a:solidFill>
                    <a:ln>
                      <a:noFill/>
                    </a:ln>
                  </pic:spPr>
                </pic:pic>
              </a:graphicData>
            </a:graphic>
          </wp:inline>
        </w:drawing>
      </w:r>
    </w:p>
    <w:p w14:paraId="41E7B36E" w14:textId="77777777" w:rsidR="007E628C" w:rsidRDefault="007E628C" w:rsidP="007E628C">
      <w:pPr>
        <w:tabs>
          <w:tab w:val="center" w:pos="4320"/>
          <w:tab w:val="right" w:pos="8640"/>
        </w:tabs>
        <w:autoSpaceDE w:val="0"/>
        <w:rPr>
          <w:rFonts w:eastAsia="TimesNewRomanPSMT" w:cs="TimesNewRomanPSMT"/>
          <w:i/>
          <w:iCs/>
          <w:sz w:val="24"/>
          <w:szCs w:val="24"/>
        </w:rPr>
      </w:pPr>
      <w:r>
        <w:rPr>
          <w:rFonts w:eastAsia="TimesNewRomanPSMT" w:cs="TimesNewRomanPSMT"/>
          <w:i/>
          <w:iCs/>
          <w:sz w:val="24"/>
          <w:szCs w:val="24"/>
        </w:rPr>
        <w:t>revised: 06.01.2021</w:t>
      </w:r>
    </w:p>
    <w:p w14:paraId="70DB6005" w14:textId="77777777" w:rsidR="005B55D0" w:rsidRDefault="005B55D0"/>
    <w:sectPr w:rsidR="005B55D0">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charset w:val="00"/>
    <w:family w:val="roman"/>
    <w:pitch w:val="default"/>
  </w:font>
  <w:font w:name="ArialMT">
    <w:charset w:val="00"/>
    <w:family w:val="swiss"/>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8C"/>
    <w:rsid w:val="005B55D0"/>
    <w:rsid w:val="007E628C"/>
    <w:rsid w:val="00EB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2C2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8C"/>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E628C"/>
    <w:pPr>
      <w:suppressLineNumbers/>
    </w:pPr>
  </w:style>
  <w:style w:type="paragraph" w:styleId="BalloonText">
    <w:name w:val="Balloon Text"/>
    <w:basedOn w:val="Normal"/>
    <w:link w:val="BalloonTextChar"/>
    <w:uiPriority w:val="99"/>
    <w:semiHidden/>
    <w:unhideWhenUsed/>
    <w:rsid w:val="007E6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28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28C"/>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E628C"/>
    <w:pPr>
      <w:suppressLineNumbers/>
    </w:pPr>
  </w:style>
  <w:style w:type="paragraph" w:styleId="BalloonText">
    <w:name w:val="Balloon Text"/>
    <w:basedOn w:val="Normal"/>
    <w:link w:val="BalloonTextChar"/>
    <w:uiPriority w:val="99"/>
    <w:semiHidden/>
    <w:unhideWhenUsed/>
    <w:rsid w:val="007E6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28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4423</Characters>
  <Application>Microsoft Macintosh Word</Application>
  <DocSecurity>0</DocSecurity>
  <Lines>36</Lines>
  <Paragraphs>10</Paragraphs>
  <ScaleCrop>false</ScaleCrop>
  <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2021-06-11T15:37:00Z</dcterms:created>
  <dcterms:modified xsi:type="dcterms:W3CDTF">2021-06-11T15:40:00Z</dcterms:modified>
</cp:coreProperties>
</file>