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 Verification Technology/Privacy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By Sharon Winkler, Owner/Editor, socialmediaharms.org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Member, Parents for Safe Online Spaces, parentssos.org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Question:  What are the implications of the Age Verification requirements of GA 351 </w:t>
      </w:r>
      <w:r>
        <w:rPr>
          <w:b/>
          <w:bCs/>
          <w:i/>
          <w:iCs/>
          <w:sz w:val="22"/>
          <w:szCs w:val="22"/>
        </w:rPr>
        <w:t>“Protecting Georgia’s Children on Social Media Act of 2024</w:t>
      </w:r>
      <w:r>
        <w:rPr>
          <w:sz w:val="22"/>
          <w:szCs w:val="22"/>
        </w:rPr>
        <w:t>?”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GA 351, Sections 3-1 &amp; 3-2, require providers of social media platforms </w:t>
      </w:r>
      <w:r>
        <w:rPr>
          <w:sz w:val="22"/>
          <w:szCs w:val="22"/>
        </w:rPr>
        <w:t xml:space="preserve">to make “commercially reasonable efforts to verify the age of account holders” </w:t>
      </w:r>
      <w:r>
        <w:rPr>
          <w:sz w:val="22"/>
          <w:szCs w:val="22"/>
          <w:u w:val="none"/>
        </w:rPr>
        <w:t xml:space="preserve">and </w:t>
      </w:r>
      <w:r>
        <w:rPr>
          <w:sz w:val="22"/>
          <w:szCs w:val="22"/>
          <w:u w:val="none"/>
        </w:rPr>
        <w:t>require websites</w:t>
      </w:r>
      <w:r>
        <w:rPr>
          <w:sz w:val="22"/>
          <w:szCs w:val="22"/>
        </w:rPr>
        <w:t xml:space="preserve"> that contain a substantial portion of material that is harmful to minors to </w:t>
      </w:r>
      <w:r>
        <w:rPr>
          <w:sz w:val="22"/>
          <w:szCs w:val="22"/>
        </w:rPr>
        <w:t xml:space="preserve">use a reasonable age verification method before allowing access to their site.  </w:t>
      </w:r>
      <w:r>
        <w:rPr>
          <w:sz w:val="22"/>
          <w:szCs w:val="22"/>
        </w:rPr>
        <w:t xml:space="preserve">Georgia’s law mandates similar user age verification requirements as laws passed in </w:t>
      </w:r>
      <w:hyperlink r:id="rId2">
        <w:r>
          <w:rPr>
            <w:rStyle w:val="Hyperlink"/>
          </w:rPr>
          <w:t>Arkansas, Indiana, Kansas, Louisiana, Mississippi, Montana, Oklahoma, Utah and Virginia.</w:t>
        </w:r>
      </w:hyperlink>
      <w:r>
        <w:rPr>
          <w:sz w:val="22"/>
          <w:szCs w:val="22"/>
        </w:rPr>
        <w:t xml:space="preserve">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Age verification laws have been challenged for </w:t>
      </w:r>
      <w:r>
        <w:rPr>
          <w:sz w:val="22"/>
          <w:szCs w:val="22"/>
        </w:rPr>
        <w:t xml:space="preserve">allegedly </w:t>
      </w:r>
      <w:r>
        <w:rPr>
          <w:sz w:val="22"/>
          <w:szCs w:val="22"/>
        </w:rPr>
        <w:t xml:space="preserve">restricting adult access to online pornography, </w:t>
      </w:r>
      <w:r>
        <w:rPr>
          <w:sz w:val="22"/>
          <w:szCs w:val="22"/>
        </w:rPr>
        <w:t xml:space="preserve">and for having </w:t>
      </w:r>
      <w:r>
        <w:rPr>
          <w:sz w:val="22"/>
          <w:szCs w:val="22"/>
        </w:rPr>
        <w:t xml:space="preserve">technological and </w:t>
      </w:r>
      <w:r>
        <w:rPr>
          <w:sz w:val="22"/>
          <w:szCs w:val="22"/>
        </w:rPr>
        <w:t>data privacy concerns.</w:t>
      </w:r>
      <w:r>
        <w:rPr>
          <w:sz w:val="22"/>
          <w:szCs w:val="22"/>
        </w:rPr>
        <w:t xml:space="preserve">  In January 2025, the US Supreme Court (SCOTUS) heard oral arguments </w:t>
      </w:r>
      <w:r>
        <w:rPr>
          <w:sz w:val="22"/>
          <w:szCs w:val="22"/>
        </w:rPr>
        <w:t>in</w:t>
      </w:r>
      <w:r>
        <w:rPr>
          <w:i/>
          <w:iCs/>
          <w:sz w:val="22"/>
          <w:szCs w:val="22"/>
        </w:rPr>
        <w:t xml:space="preserve"> Free Speech Coalition (FSC) v Paxton</w:t>
      </w:r>
      <w:r>
        <w:rPr>
          <w:sz w:val="22"/>
          <w:szCs w:val="22"/>
        </w:rPr>
        <w:t xml:space="preserve"> regarding age verification requirements in Texas’ state law.  During the </w:t>
      </w:r>
      <w:r>
        <w:rPr>
          <w:sz w:val="22"/>
          <w:szCs w:val="22"/>
        </w:rPr>
        <w:t>argument</w:t>
      </w:r>
      <w:r>
        <w:rPr>
          <w:sz w:val="22"/>
          <w:szCs w:val="22"/>
        </w:rPr>
        <w:t xml:space="preserve">, many justices compared </w:t>
      </w:r>
      <w:r>
        <w:rPr>
          <w:sz w:val="22"/>
          <w:szCs w:val="22"/>
        </w:rPr>
        <w:t xml:space="preserve">age verification for digital services to </w:t>
      </w:r>
      <w:r>
        <w:rPr>
          <w:sz w:val="22"/>
          <w:szCs w:val="22"/>
        </w:rPr>
        <w:t xml:space="preserve">requirements </w:t>
      </w:r>
      <w:r>
        <w:rPr>
          <w:sz w:val="22"/>
          <w:szCs w:val="22"/>
        </w:rPr>
        <w:t>to</w:t>
      </w:r>
      <w:r>
        <w:rPr>
          <w:sz w:val="22"/>
          <w:szCs w:val="22"/>
        </w:rPr>
        <w:t xml:space="preserve"> provid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age verification </w:t>
      </w:r>
      <w:r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physical businesses or to purchase </w:t>
      </w:r>
      <w:r>
        <w:rPr>
          <w:sz w:val="22"/>
          <w:szCs w:val="22"/>
        </w:rPr>
        <w:t xml:space="preserve">age-restricted </w:t>
      </w:r>
      <w:r>
        <w:rPr>
          <w:sz w:val="22"/>
          <w:szCs w:val="22"/>
        </w:rPr>
        <w:t>products.  The justices’ questions seemed to indicate they unders</w:t>
      </w:r>
      <w:r>
        <w:rPr>
          <w:sz w:val="22"/>
          <w:szCs w:val="22"/>
        </w:rPr>
        <w:t>too</w:t>
      </w:r>
      <w:r>
        <w:rPr>
          <w:sz w:val="22"/>
          <w:szCs w:val="22"/>
        </w:rPr>
        <w:t>d that age verification technology has greatly advanced since the last SCOTUS ruling on this subject, (</w:t>
      </w:r>
      <w:r>
        <w:rPr>
          <w:i/>
          <w:iCs/>
          <w:sz w:val="22"/>
          <w:szCs w:val="22"/>
        </w:rPr>
        <w:t>Ashcroft v. ACLU</w:t>
      </w:r>
      <w:r>
        <w:rPr>
          <w:sz w:val="22"/>
          <w:szCs w:val="22"/>
        </w:rPr>
        <w:t xml:space="preserve">, 542 U.S. 656 (2004)) mitigating </w:t>
      </w:r>
      <w:r>
        <w:rPr>
          <w:sz w:val="22"/>
          <w:szCs w:val="22"/>
        </w:rPr>
        <w:t>the above</w:t>
      </w:r>
      <w:r>
        <w:rPr>
          <w:sz w:val="22"/>
          <w:szCs w:val="22"/>
        </w:rPr>
        <w:t xml:space="preserve"> arguments and paving the way for safer online platforms for youth.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Supporters of age verification technology note that the United Kingdom (UK) passed the Online Safety Act 2023, which includes a requirement for </w:t>
      </w:r>
      <w:hyperlink r:id="rId3">
        <w:r>
          <w:rPr>
            <w:rStyle w:val="Hyperlink"/>
          </w:rPr>
          <w:t xml:space="preserve">age verification </w:t>
        </w:r>
      </w:hyperlink>
      <w:r>
        <w:rPr>
          <w:sz w:val="22"/>
          <w:szCs w:val="22"/>
        </w:rPr>
        <w:t xml:space="preserve">to access certain online services.  The </w:t>
      </w:r>
      <w:hyperlink r:id="rId4">
        <w:r>
          <w:rPr>
            <w:rStyle w:val="Hyperlink"/>
          </w:rPr>
          <w:t>European Union</w:t>
        </w:r>
      </w:hyperlink>
      <w:r>
        <w:rPr>
          <w:sz w:val="22"/>
          <w:szCs w:val="22"/>
        </w:rPr>
        <w:t xml:space="preserve">, </w:t>
      </w:r>
      <w:hyperlink r:id="rId5">
        <w:r>
          <w:rPr>
            <w:rStyle w:val="Hyperlink"/>
          </w:rPr>
          <w:t>Ireland</w:t>
        </w:r>
      </w:hyperlink>
      <w:r>
        <w:rPr>
          <w:sz w:val="22"/>
          <w:szCs w:val="22"/>
        </w:rPr>
        <w:t xml:space="preserve">, </w:t>
      </w:r>
      <w:hyperlink r:id="rId6">
        <w:r>
          <w:rPr>
            <w:rStyle w:val="Hyperlink"/>
          </w:rPr>
          <w:t>Germany</w:t>
        </w:r>
      </w:hyperlink>
      <w:r>
        <w:rPr>
          <w:sz w:val="22"/>
          <w:szCs w:val="22"/>
        </w:rPr>
        <w:t xml:space="preserve"> and </w:t>
      </w:r>
      <w:hyperlink r:id="rId7">
        <w:r>
          <w:rPr>
            <w:rStyle w:val="Hyperlink"/>
          </w:rPr>
          <w:t>France</w:t>
        </w:r>
      </w:hyperlink>
      <w:r>
        <w:rPr>
          <w:sz w:val="22"/>
          <w:szCs w:val="22"/>
        </w:rPr>
        <w:t xml:space="preserve"> have also passed laws requiring age verification for youth to access various online services.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hyperlink r:id="rId8">
        <w:r>
          <w:rPr>
            <w:rStyle w:val="Hyperlink"/>
            <w:sz w:val="22"/>
            <w:szCs w:val="22"/>
          </w:rPr>
          <w:t xml:space="preserve">Ofcom </w:t>
        </w:r>
      </w:hyperlink>
      <w:r>
        <w:rPr>
          <w:sz w:val="22"/>
          <w:szCs w:val="22"/>
        </w:rPr>
        <w:t xml:space="preserve">is the UK’s regulator responsible for creating policies and ensuring compliance with the Online Safety Act 2023 and has recommended the following age assurance technologies: </w:t>
        <w:br/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Digital Identity Services </w:t>
      </w:r>
      <w:r>
        <w:rPr>
          <w:sz w:val="22"/>
          <w:szCs w:val="22"/>
        </w:rPr>
        <w:t>(i.e. Digital ID apps or digital identity wallets) which can minimize personal data transmission by sharing that the user is within a certain age bracket (e.g. 25+, 21+, 18+, 13+, 13-17).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sz w:val="22"/>
          <w:szCs w:val="22"/>
        </w:rPr>
        <w:t xml:space="preserve">Facial age estimation method - </w:t>
      </w:r>
      <w:r>
        <w:rPr>
          <w:sz w:val="22"/>
          <w:szCs w:val="22"/>
        </w:rPr>
        <w:t xml:space="preserve">user takes a “selfie” and software estimates the user’s age.  The </w:t>
      </w:r>
      <w:hyperlink r:id="rId9">
        <w:r>
          <w:rPr>
            <w:rStyle w:val="Hyperlink"/>
          </w:rPr>
          <w:t xml:space="preserve">US National Institute of Standards &amp; </w:t>
        </w:r>
        <w:r>
          <w:rPr>
            <w:rStyle w:val="Hyperlink"/>
            <w:sz w:val="22"/>
            <w:szCs w:val="22"/>
            <w:u w:val="none"/>
          </w:rPr>
          <w:t>Technology</w:t>
        </w:r>
      </w:hyperlink>
      <w:r>
        <w:rPr>
          <w:sz w:val="22"/>
          <w:szCs w:val="22"/>
        </w:rPr>
        <w:t xml:space="preserve"> (NIST) has published standards on Face Analysis Age Estimation since 2014; a May 2024 NIST report documents that six major systems are accurate with up to a 3.1 year variance.  A secondary age verification measure such as those below, can be used without requiring a government ID.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Mobile Network Operator (MNO) age checks.   </w:t>
      </w:r>
      <w:r>
        <w:rPr>
          <w:sz w:val="22"/>
          <w:szCs w:val="22"/>
        </w:rPr>
        <w:t>Mobile phone operators verify that a device is used by an individual within a certain age group (see above).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Credit card checks, </w:t>
      </w:r>
      <w:r>
        <w:rPr>
          <w:sz w:val="22"/>
          <w:szCs w:val="22"/>
        </w:rPr>
        <w:t xml:space="preserve">with a suitable level of authentication (i.e. is this an adult presenting the card, or a child who has taken parent’s card, or is on a joint card). 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estimation methods</w:t>
      </w:r>
      <w:r>
        <w:rPr>
          <w:sz w:val="22"/>
          <w:szCs w:val="22"/>
        </w:rPr>
        <w:t xml:space="preserve"> could include email estimation and hand gesture estimation.  These methods have fewer independent reviews, benchmarking or academic studies documenting the accuracy of these estimation systems.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None of the above age verification technologies require establish</w:t>
      </w:r>
      <w:r>
        <w:rPr>
          <w:sz w:val="22"/>
          <w:szCs w:val="22"/>
        </w:rPr>
        <w:t xml:space="preserve">ing </w:t>
      </w:r>
      <w:r>
        <w:rPr>
          <w:sz w:val="22"/>
          <w:szCs w:val="22"/>
        </w:rPr>
        <w:t xml:space="preserve">a permanent database.  In fact, many state laws requiring online age verification prohibit the permanent collection </w:t>
      </w:r>
      <w:r>
        <w:rPr>
          <w:sz w:val="22"/>
          <w:szCs w:val="22"/>
        </w:rPr>
        <w:t xml:space="preserve">and retention </w:t>
      </w:r>
      <w:r>
        <w:rPr>
          <w:sz w:val="22"/>
          <w:szCs w:val="22"/>
        </w:rPr>
        <w:t>of this user data.  Age verification technology does not require excessive collection/storage of personal information.  These techniques can also be used to verify the age of adults that fail facial age estimation checks without requiring disclosure of government identification.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Conclusion:</w:t>
      </w:r>
      <w:r>
        <w:rPr>
          <w:sz w:val="22"/>
          <w:szCs w:val="22"/>
        </w:rPr>
        <w:t xml:space="preserve">  Given </w:t>
      </w:r>
      <w:r>
        <w:rPr>
          <w:sz w:val="22"/>
          <w:szCs w:val="22"/>
        </w:rPr>
        <w:t xml:space="preserve">the incredible </w:t>
      </w:r>
      <w:r>
        <w:rPr>
          <w:sz w:val="22"/>
          <w:szCs w:val="22"/>
        </w:rPr>
        <w:t>advance</w:t>
      </w:r>
      <w:r>
        <w:rPr>
          <w:sz w:val="22"/>
          <w:szCs w:val="22"/>
        </w:rPr>
        <w:t>ments</w:t>
      </w:r>
      <w:r>
        <w:rPr>
          <w:sz w:val="22"/>
          <w:szCs w:val="22"/>
        </w:rPr>
        <w:t xml:space="preserve"> in age verification technology over the past two decades, age verification for online platforms </w:t>
      </w:r>
      <w:r>
        <w:rPr>
          <w:sz w:val="22"/>
          <w:szCs w:val="22"/>
        </w:rPr>
        <w:t>is easily</w:t>
      </w:r>
      <w:r>
        <w:rPr>
          <w:sz w:val="22"/>
          <w:szCs w:val="22"/>
        </w:rPr>
        <w:t xml:space="preserve"> accomplished without collecting and storing extensive personal data, and </w:t>
      </w:r>
      <w:r>
        <w:rPr>
          <w:sz w:val="22"/>
          <w:szCs w:val="22"/>
        </w:rPr>
        <w:t xml:space="preserve">without burdening </w:t>
      </w:r>
      <w:r>
        <w:rPr>
          <w:sz w:val="22"/>
          <w:szCs w:val="22"/>
        </w:rPr>
        <w:t xml:space="preserve">adults’ </w:t>
      </w:r>
      <w:r>
        <w:rPr>
          <w:sz w:val="22"/>
          <w:szCs w:val="22"/>
        </w:rPr>
        <w:t>F</w:t>
      </w:r>
      <w:r>
        <w:rPr>
          <w:sz w:val="22"/>
          <w:szCs w:val="22"/>
        </w:rPr>
        <w:t xml:space="preserve">irst </w:t>
      </w:r>
      <w:r>
        <w:rPr>
          <w:sz w:val="22"/>
          <w:szCs w:val="22"/>
        </w:rPr>
        <w:t>A</w:t>
      </w:r>
      <w:r>
        <w:rPr>
          <w:sz w:val="22"/>
          <w:szCs w:val="22"/>
        </w:rPr>
        <w:t>mendment right to protected speech.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878" w:right="878" w:gutter="0" w:header="0" w:top="878" w:footer="0" w:bottom="87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neNumber">
    <w:name w:val="Line Number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Revision">
    <w:name w:val="Revision"/>
    <w:uiPriority w:val="99"/>
    <w:semiHidden/>
    <w:qFormat/>
    <w:rsid w:val="00272ef1"/>
    <w:pPr>
      <w:widowControl/>
      <w:suppressAutoHyphens w:val="false"/>
      <w:bidi w:val="0"/>
      <w:spacing w:before="0" w:after="0"/>
      <w:jc w:val="start"/>
    </w:pPr>
    <w:rPr>
      <w:rFonts w:cs="Mangal" w:ascii="Liberation Serif" w:hAnsi="Liberation Serif" w:eastAsia="Noto Serif CJK SC"/>
      <w:color w:val="auto"/>
      <w:kern w:val="2"/>
      <w:sz w:val="24"/>
      <w:szCs w:val="21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news.com/article/supreme-court-pornography-age-verification-texas-9c31eca983bdb30d3696cd4c5891a392" TargetMode="External"/><Relationship Id="rId3" Type="http://schemas.openxmlformats.org/officeDocument/2006/relationships/hyperlink" Target="https://www.ofcom.org.uk/siteassets/resources/documents/consultations/category-1-10-weeks/statement-age-assurance-and-childrens-access/guidance-on-highly-effective-age-assurance-and-other-part-5-duties.pdf?v=388810" TargetMode="External"/><Relationship Id="rId4" Type="http://schemas.openxmlformats.org/officeDocument/2006/relationships/hyperlink" Target="https://rm.coe.int/the-protection-of-minors-on-vsps-age-verification-and-parental-control/1680af0788" TargetMode="External"/><Relationship Id="rId5" Type="http://schemas.openxmlformats.org/officeDocument/2006/relationships/hyperlink" Target="https://www.dataprotection.ie/sites/default/files/uploads/2021-12/Fundamentals%20for%20a%20Child-Oriented%20Approach%20to%20Data%20Processing_FINAL_EN.pdf" TargetMode="External"/><Relationship Id="rId6" Type="http://schemas.openxmlformats.org/officeDocument/2006/relationships/hyperlink" Target="https://www.game.de/en/topics/protection-of-minors/" TargetMode="External"/><Relationship Id="rId7" Type="http://schemas.openxmlformats.org/officeDocument/2006/relationships/hyperlink" Target="https://www.lexology.com/library/detail.aspx?g=c8be7729-5509-40e9-8365-0eb7ebdd3d35" TargetMode="External"/><Relationship Id="rId8" Type="http://schemas.openxmlformats.org/officeDocument/2006/relationships/hyperlink" Target="https://www.ofcom.org.uk/siteassets/resources/documents/consultations/category-1-10-weeks/statement-age-assurance-and-childrens-access/guidance-on-highly-effective-age-assurance-and-other-part-5-duties.pdf?v=388810" TargetMode="External"/><Relationship Id="rId9" Type="http://schemas.openxmlformats.org/officeDocument/2006/relationships/hyperlink" Target="https://nvlpubs.nist.gov/nistpubs/ir/2024/NIST.IR.8525.pdf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LibreOffice/24.2.7.2$Linux_X86_64 LibreOffice_project/420$Build-2</Application>
  <AppVersion>15.0000</AppVersion>
  <Pages>1</Pages>
  <Words>602</Words>
  <Characters>3467</Characters>
  <CharactersWithSpaces>4069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2025-03-07T12:27:36Z</dcterms:created>
  <dc:creator/>
  <dc:description/>
  <dc:language>en-US</dc:language>
  <cp:lastModifiedBy/>
  <dcterms:modified xsi:type="dcterms:W3CDTF">2025-03-12T10:36:16Z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