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76F3" w14:textId="716B4C56" w:rsidR="00AF544D" w:rsidRDefault="00AF544D" w:rsidP="00AF544D">
      <w:pPr>
        <w:pStyle w:val="Title"/>
      </w:pPr>
      <w:r>
        <w:t>Hardwicke Early Years Fee Structure</w:t>
      </w:r>
    </w:p>
    <w:p w14:paraId="02D1E321" w14:textId="288DD606" w:rsidR="00AF544D" w:rsidRDefault="00AF544D" w:rsidP="00AF544D">
      <w:pPr>
        <w:pStyle w:val="Subtitle"/>
      </w:pPr>
      <w:r>
        <w:t>Comprehensive Overview of our Charges</w:t>
      </w:r>
    </w:p>
    <w:p w14:paraId="4BD9C8DC" w14:textId="77777777" w:rsidR="00AF544D" w:rsidRDefault="00AF544D" w:rsidP="00AF544D">
      <w:pPr>
        <w:pStyle w:val="Heading1"/>
      </w:pPr>
      <w:r>
        <w:t>Introduction</w:t>
      </w:r>
    </w:p>
    <w:p w14:paraId="54BE0CDD" w14:textId="5C0568B8" w:rsidR="00AF544D" w:rsidRDefault="00AF544D" w:rsidP="00AF544D">
      <w:r w:rsidRPr="00AF544D">
        <w:t xml:space="preserve">This document outlines the standard fee structure for </w:t>
      </w:r>
      <w:r>
        <w:t>our</w:t>
      </w:r>
      <w:r w:rsidRPr="00AF544D">
        <w:t xml:space="preserve"> services. It is designed to provide parents and guardians with clear, transparent information regarding the costs associated with nursery attendance. All fees are quoted in pounds sterling (£) and are subject to change with prior notice.</w:t>
      </w:r>
    </w:p>
    <w:p w14:paraId="27CD057C" w14:textId="77777777" w:rsidR="00AF544D" w:rsidRDefault="00AF544D" w:rsidP="00AF544D">
      <w:pPr>
        <w:pStyle w:val="Heading2"/>
      </w:pPr>
      <w:r>
        <w:t>Registration and Deposit</w:t>
      </w:r>
    </w:p>
    <w:p w14:paraId="6B6997B9" w14:textId="54E9233E" w:rsidR="00AF544D" w:rsidRDefault="00157259" w:rsidP="00AF544D">
      <w:pPr>
        <w:pStyle w:val="ListParagraph"/>
        <w:numPr>
          <w:ilvl w:val="0"/>
          <w:numId w:val="1"/>
        </w:numPr>
      </w:pPr>
      <w:r>
        <w:t>We do not charge</w:t>
      </w:r>
      <w:r w:rsidR="00785BB8">
        <w:t xml:space="preserve"> a registration fee or deposit.</w:t>
      </w:r>
    </w:p>
    <w:p w14:paraId="033EE26F" w14:textId="24F46336" w:rsidR="00AF544D" w:rsidRDefault="00AF544D" w:rsidP="00AF544D">
      <w:pPr>
        <w:pStyle w:val="ListParagraph"/>
      </w:pPr>
    </w:p>
    <w:p w14:paraId="095A654A" w14:textId="77777777" w:rsidR="00AF544D" w:rsidRDefault="00AF544D" w:rsidP="00AF544D">
      <w:pPr>
        <w:pStyle w:val="Heading2"/>
      </w:pPr>
      <w:r>
        <w:t>Core Session Fees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005"/>
        <w:gridCol w:w="3005"/>
        <w:gridCol w:w="3006"/>
      </w:tblGrid>
      <w:tr w:rsidR="00AF544D" w:rsidRPr="00AF544D" w14:paraId="71EE5FA8" w14:textId="77777777" w:rsidTr="00AF5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14:paraId="11CB71A3" w14:textId="60D8AC30" w:rsidR="00AF544D" w:rsidRPr="00AF544D" w:rsidRDefault="00AF544D" w:rsidP="00AF544D">
            <w:r>
              <w:t>Session</w:t>
            </w:r>
          </w:p>
        </w:tc>
        <w:tc>
          <w:tcPr>
            <w:tcW w:w="3005" w:type="dxa"/>
          </w:tcPr>
          <w:p w14:paraId="44D32F30" w14:textId="73528686" w:rsidR="00AF544D" w:rsidRPr="00AF544D" w:rsidRDefault="00AF544D" w:rsidP="00AF544D">
            <w:r>
              <w:t>Time</w:t>
            </w:r>
          </w:p>
        </w:tc>
        <w:tc>
          <w:tcPr>
            <w:tcW w:w="3006" w:type="dxa"/>
          </w:tcPr>
          <w:p w14:paraId="74C62E62" w14:textId="2411F209" w:rsidR="00AF544D" w:rsidRPr="00AF544D" w:rsidRDefault="00AF544D" w:rsidP="00AF544D">
            <w:r>
              <w:t>Fee (per hour)</w:t>
            </w:r>
          </w:p>
        </w:tc>
      </w:tr>
      <w:tr w:rsidR="00AF544D" w:rsidRPr="00AF544D" w14:paraId="7549B9C5" w14:textId="77777777" w:rsidTr="00AF5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5" w:type="dxa"/>
          </w:tcPr>
          <w:p w14:paraId="536CB4A6" w14:textId="2868AF02" w:rsidR="00AF544D" w:rsidRDefault="00AF544D" w:rsidP="00AF544D">
            <w:r>
              <w:t>Morning Session</w:t>
            </w:r>
          </w:p>
        </w:tc>
        <w:tc>
          <w:tcPr>
            <w:tcW w:w="3005" w:type="dxa"/>
          </w:tcPr>
          <w:p w14:paraId="0C5B25CA" w14:textId="7D869CE9" w:rsidR="00AF544D" w:rsidRDefault="00AF544D" w:rsidP="00AF544D">
            <w:r>
              <w:t>09:00 – 12:00</w:t>
            </w:r>
          </w:p>
        </w:tc>
        <w:tc>
          <w:tcPr>
            <w:tcW w:w="3006" w:type="dxa"/>
          </w:tcPr>
          <w:p w14:paraId="1FC575ED" w14:textId="2953C9C6" w:rsidR="00AF544D" w:rsidRDefault="00AF544D" w:rsidP="00AF544D">
            <w:r>
              <w:t>£5.50</w:t>
            </w:r>
          </w:p>
        </w:tc>
      </w:tr>
      <w:tr w:rsidR="00AF544D" w:rsidRPr="00AF544D" w14:paraId="1D56A242" w14:textId="77777777" w:rsidTr="00AF544D">
        <w:tc>
          <w:tcPr>
            <w:tcW w:w="3005" w:type="dxa"/>
          </w:tcPr>
          <w:p w14:paraId="14D94E8B" w14:textId="1F9B9293" w:rsidR="00AF544D" w:rsidRDefault="00AF544D" w:rsidP="00AF544D">
            <w:r>
              <w:t>Afternoon Session</w:t>
            </w:r>
          </w:p>
        </w:tc>
        <w:tc>
          <w:tcPr>
            <w:tcW w:w="3005" w:type="dxa"/>
          </w:tcPr>
          <w:p w14:paraId="6FA6ED2E" w14:textId="40257E55" w:rsidR="00AF544D" w:rsidRDefault="00AF544D" w:rsidP="00AF544D">
            <w:r>
              <w:t>12:00 – 14:45</w:t>
            </w:r>
          </w:p>
        </w:tc>
        <w:tc>
          <w:tcPr>
            <w:tcW w:w="3006" w:type="dxa"/>
          </w:tcPr>
          <w:p w14:paraId="71E5F0DF" w14:textId="72AFE13B" w:rsidR="00AF544D" w:rsidRDefault="00AF544D" w:rsidP="00AF544D">
            <w:r>
              <w:t>£5.50</w:t>
            </w:r>
          </w:p>
        </w:tc>
      </w:tr>
      <w:tr w:rsidR="00AF544D" w:rsidRPr="00AF544D" w14:paraId="37FE2CBB" w14:textId="77777777" w:rsidTr="00AF5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5" w:type="dxa"/>
          </w:tcPr>
          <w:p w14:paraId="1935C80B" w14:textId="2D06D99A" w:rsidR="00AF544D" w:rsidRDefault="00AF544D" w:rsidP="00AF544D">
            <w:r>
              <w:t>Full Day</w:t>
            </w:r>
          </w:p>
        </w:tc>
        <w:tc>
          <w:tcPr>
            <w:tcW w:w="3005" w:type="dxa"/>
          </w:tcPr>
          <w:p w14:paraId="3F4812B5" w14:textId="24C01CAC" w:rsidR="00AF544D" w:rsidRDefault="00AF544D" w:rsidP="00AF544D">
            <w:r>
              <w:t>09:00 – 14:45</w:t>
            </w:r>
          </w:p>
        </w:tc>
        <w:tc>
          <w:tcPr>
            <w:tcW w:w="3006" w:type="dxa"/>
          </w:tcPr>
          <w:p w14:paraId="4B0272E2" w14:textId="2AF3CDB8" w:rsidR="00AF544D" w:rsidRDefault="00AF544D" w:rsidP="00AF544D">
            <w:r>
              <w:t>£5.50</w:t>
            </w:r>
          </w:p>
        </w:tc>
      </w:tr>
    </w:tbl>
    <w:p w14:paraId="26056807" w14:textId="77777777" w:rsidR="00AF544D" w:rsidRDefault="00AF544D" w:rsidP="00AF544D">
      <w:pPr>
        <w:pStyle w:val="Heading2"/>
      </w:pPr>
      <w:r>
        <w:t>Additional Charges</w:t>
      </w:r>
    </w:p>
    <w:p w14:paraId="45A67AD6" w14:textId="30ED11AE" w:rsidR="00AF544D" w:rsidRDefault="00AF544D" w:rsidP="00AF544D">
      <w:pPr>
        <w:pStyle w:val="ListParagraph"/>
        <w:numPr>
          <w:ilvl w:val="0"/>
          <w:numId w:val="3"/>
        </w:numPr>
      </w:pPr>
      <w:r w:rsidRPr="00AF544D">
        <w:t>Late Collection Fee: £</w:t>
      </w:r>
      <w:r>
        <w:t>5</w:t>
      </w:r>
      <w:r w:rsidRPr="00AF544D">
        <w:t xml:space="preserve"> for every 15 minutes after agreed collection time</w:t>
      </w:r>
      <w:r>
        <w:t xml:space="preserve"> if not notified of reason for lateness</w:t>
      </w:r>
    </w:p>
    <w:p w14:paraId="1E535C42" w14:textId="64B86C87" w:rsidR="00AF544D" w:rsidRDefault="00AF544D" w:rsidP="00AF544D">
      <w:pPr>
        <w:pStyle w:val="ListParagraph"/>
        <w:numPr>
          <w:ilvl w:val="0"/>
          <w:numId w:val="3"/>
        </w:numPr>
      </w:pPr>
      <w:r>
        <w:t>Snack</w:t>
      </w:r>
      <w:r w:rsidRPr="00AF544D">
        <w:t xml:space="preserve"> Charges: </w:t>
      </w:r>
      <w:r>
        <w:t>35p a day for an am snack. You can opt out and provide your own snack on the registration forms.</w:t>
      </w:r>
    </w:p>
    <w:p w14:paraId="32888CAF" w14:textId="77777777" w:rsidR="00AF544D" w:rsidRDefault="00AF544D" w:rsidP="00AF544D">
      <w:pPr>
        <w:pStyle w:val="Heading2"/>
      </w:pPr>
      <w:r>
        <w:t>Discounts and Funding</w:t>
      </w:r>
    </w:p>
    <w:p w14:paraId="2DEC6831" w14:textId="37FE92FE" w:rsidR="00AF544D" w:rsidRDefault="00AF544D" w:rsidP="00AF544D">
      <w:pPr>
        <w:pStyle w:val="ListParagraph"/>
        <w:numPr>
          <w:ilvl w:val="0"/>
          <w:numId w:val="4"/>
        </w:numPr>
      </w:pPr>
      <w:r w:rsidRPr="00AF544D">
        <w:t>Government Funding: Available for eligible</w:t>
      </w:r>
      <w:r>
        <w:t xml:space="preserve"> for all</w:t>
      </w:r>
      <w:r w:rsidRPr="00AF544D">
        <w:t xml:space="preserve"> children (subject to local authority guidelines)</w:t>
      </w:r>
    </w:p>
    <w:p w14:paraId="67D9E0F0" w14:textId="77777777" w:rsidR="00AF544D" w:rsidRDefault="00AF544D" w:rsidP="00AF544D">
      <w:pPr>
        <w:pStyle w:val="Heading2"/>
      </w:pPr>
      <w:r>
        <w:t>Payment Terms</w:t>
      </w:r>
    </w:p>
    <w:p w14:paraId="48557AF3" w14:textId="187BA459" w:rsidR="00AF544D" w:rsidRDefault="00AF544D" w:rsidP="00AF544D">
      <w:pPr>
        <w:pStyle w:val="ListParagraph"/>
        <w:numPr>
          <w:ilvl w:val="0"/>
          <w:numId w:val="5"/>
        </w:numPr>
      </w:pPr>
      <w:r w:rsidRPr="00AF544D">
        <w:t>All fees are payable monthly.</w:t>
      </w:r>
    </w:p>
    <w:p w14:paraId="41C5BCF5" w14:textId="77777777" w:rsidR="00AF544D" w:rsidRDefault="00AF544D" w:rsidP="00AF544D">
      <w:pPr>
        <w:pStyle w:val="ListParagraph"/>
        <w:numPr>
          <w:ilvl w:val="0"/>
          <w:numId w:val="5"/>
        </w:numPr>
      </w:pPr>
      <w:r w:rsidRPr="00AF544D">
        <w:t>Payments can be made via bank transfer, standing order, or childcare vouchers.</w:t>
      </w:r>
    </w:p>
    <w:p w14:paraId="116E5E66" w14:textId="3B2F092B" w:rsidR="00AF544D" w:rsidRDefault="00AF544D" w:rsidP="00AF544D">
      <w:pPr>
        <w:pStyle w:val="ListParagraph"/>
        <w:numPr>
          <w:ilvl w:val="0"/>
          <w:numId w:val="5"/>
        </w:numPr>
      </w:pPr>
      <w:r w:rsidRPr="00AF544D">
        <w:t>Late payment</w:t>
      </w:r>
      <w:r>
        <w:t>s</w:t>
      </w:r>
      <w:r w:rsidRPr="00AF544D">
        <w:t xml:space="preserve"> will incur a £2</w:t>
      </w:r>
      <w:r>
        <w:t>5</w:t>
      </w:r>
      <w:r w:rsidRPr="00AF544D">
        <w:t xml:space="preserve"> </w:t>
      </w:r>
      <w:r w:rsidR="001C68B6">
        <w:t>late payment fee</w:t>
      </w:r>
      <w:r w:rsidR="005D487D">
        <w:t>. If no payment is still not received and no conversation</w:t>
      </w:r>
      <w:r w:rsidR="00255BD6">
        <w:t xml:space="preserve"> regarding payment has been had with the manager</w:t>
      </w:r>
      <w:r w:rsidR="005C158B">
        <w:t>, then £10 is added on for every week that it is late</w:t>
      </w:r>
      <w:r w:rsidR="004C687C">
        <w:t>.</w:t>
      </w:r>
    </w:p>
    <w:p w14:paraId="1F86B942" w14:textId="77777777" w:rsidR="00AF544D" w:rsidRDefault="00AF544D" w:rsidP="00AF544D">
      <w:pPr>
        <w:pStyle w:val="Heading2"/>
      </w:pPr>
      <w:r>
        <w:lastRenderedPageBreak/>
        <w:t>Notice Period</w:t>
      </w:r>
    </w:p>
    <w:p w14:paraId="763CB9F6" w14:textId="497B2990" w:rsidR="00AF544D" w:rsidRDefault="00AF544D" w:rsidP="00AF544D">
      <w:r w:rsidRPr="00AF544D">
        <w:t xml:space="preserve">A minimum of one month’s written notice is required if you wish to withdraw your child from the </w:t>
      </w:r>
      <w:r>
        <w:t>setting</w:t>
      </w:r>
      <w:r w:rsidRPr="00AF544D">
        <w:t xml:space="preserve"> or reduce their attendance.</w:t>
      </w:r>
    </w:p>
    <w:p w14:paraId="2695AA32" w14:textId="77777777" w:rsidR="00AF544D" w:rsidRDefault="00AF544D" w:rsidP="00AF544D">
      <w:pPr>
        <w:pStyle w:val="Heading2"/>
      </w:pPr>
      <w:r>
        <w:t>Contact for Queries</w:t>
      </w:r>
    </w:p>
    <w:p w14:paraId="6F7777C6" w14:textId="71FF4A09" w:rsidR="00AF544D" w:rsidRPr="00AF544D" w:rsidRDefault="00AF544D" w:rsidP="00AF544D">
      <w:r w:rsidRPr="00AF544D">
        <w:t xml:space="preserve">If you have any questions regarding the fee structure or require clarification, please contact the </w:t>
      </w:r>
      <w:r>
        <w:t xml:space="preserve">manager on </w:t>
      </w:r>
      <w:hyperlink r:id="rId5" w:history="1">
        <w:r w:rsidR="00C2101E" w:rsidRPr="00BD657E">
          <w:rPr>
            <w:rStyle w:val="Hyperlink"/>
          </w:rPr>
          <w:t>hardwickeplaygroup@eygloucestershire.co.uk</w:t>
        </w:r>
      </w:hyperlink>
      <w:r w:rsidR="00C2101E">
        <w:tab/>
      </w:r>
    </w:p>
    <w:p w14:paraId="74D1BF0C" w14:textId="64AD8295" w:rsidR="00AF544D" w:rsidRPr="00AF544D" w:rsidRDefault="00AF544D" w:rsidP="00AF544D"/>
    <w:sectPr w:rsidR="00AF544D" w:rsidRPr="00AF5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D22"/>
    <w:multiLevelType w:val="hybridMultilevel"/>
    <w:tmpl w:val="FB885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0970"/>
    <w:multiLevelType w:val="hybridMultilevel"/>
    <w:tmpl w:val="9366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803DF"/>
    <w:multiLevelType w:val="hybridMultilevel"/>
    <w:tmpl w:val="76ECB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A05A4"/>
    <w:multiLevelType w:val="hybridMultilevel"/>
    <w:tmpl w:val="117E4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20165"/>
    <w:multiLevelType w:val="hybridMultilevel"/>
    <w:tmpl w:val="600AD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4426">
    <w:abstractNumId w:val="3"/>
  </w:num>
  <w:num w:numId="2" w16cid:durableId="1773932864">
    <w:abstractNumId w:val="4"/>
  </w:num>
  <w:num w:numId="3" w16cid:durableId="751972638">
    <w:abstractNumId w:val="0"/>
  </w:num>
  <w:num w:numId="4" w16cid:durableId="1691906438">
    <w:abstractNumId w:val="1"/>
  </w:num>
  <w:num w:numId="5" w16cid:durableId="110102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4D"/>
    <w:rsid w:val="00157259"/>
    <w:rsid w:val="001C68B6"/>
    <w:rsid w:val="00255BD6"/>
    <w:rsid w:val="004C687C"/>
    <w:rsid w:val="005C158B"/>
    <w:rsid w:val="005D487D"/>
    <w:rsid w:val="00655D31"/>
    <w:rsid w:val="00785BB8"/>
    <w:rsid w:val="00AF544D"/>
    <w:rsid w:val="00B36529"/>
    <w:rsid w:val="00C2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B51A"/>
  <w15:chartTrackingRefBased/>
  <w15:docId w15:val="{9841883C-689C-4962-92F3-7D683436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4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5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F54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210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dwickeplaygroup@eygloucestershir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Hardwicke Playgroup</dc:creator>
  <cp:keywords/>
  <dc:description/>
  <cp:lastModifiedBy>Hardwicke Playgroup</cp:lastModifiedBy>
  <cp:revision>8</cp:revision>
  <dcterms:created xsi:type="dcterms:W3CDTF">2025-09-05T11:27:00Z</dcterms:created>
  <dcterms:modified xsi:type="dcterms:W3CDTF">2025-09-29T10:56:00Z</dcterms:modified>
</cp:coreProperties>
</file>