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F933" w14:textId="77777777" w:rsidR="00B1784F" w:rsidRPr="00B1784F" w:rsidRDefault="00C170E1" w:rsidP="00B1784F">
      <w:pPr>
        <w:rPr>
          <w:b/>
          <w:bCs/>
          <w:color w:val="215E99" w:themeColor="text2" w:themeTint="BF"/>
          <w:sz w:val="48"/>
          <w:szCs w:val="48"/>
        </w:rPr>
      </w:pPr>
      <w:r w:rsidRPr="00B1784F">
        <w:rPr>
          <w:b/>
          <w:bCs/>
          <w:color w:val="215E99" w:themeColor="text2" w:themeTint="BF"/>
          <w:sz w:val="48"/>
          <w:szCs w:val="48"/>
        </w:rPr>
        <w:t xml:space="preserve">Bathgate </w:t>
      </w:r>
      <w:r w:rsidR="009222E2" w:rsidRPr="00B1784F">
        <w:rPr>
          <w:b/>
          <w:bCs/>
          <w:color w:val="215E99" w:themeColor="text2" w:themeTint="BF"/>
          <w:sz w:val="48"/>
          <w:szCs w:val="48"/>
        </w:rPr>
        <w:t>Solar Coop</w:t>
      </w:r>
      <w:r w:rsidR="00B1784F" w:rsidRPr="00B1784F">
        <w:rPr>
          <w:b/>
          <w:bCs/>
          <w:color w:val="215E99" w:themeColor="text2" w:themeTint="BF"/>
          <w:sz w:val="48"/>
          <w:szCs w:val="48"/>
        </w:rPr>
        <w:t xml:space="preserve"> Project </w:t>
      </w:r>
    </w:p>
    <w:p w14:paraId="272D83D6" w14:textId="33495C86" w:rsidR="00C170E1" w:rsidRPr="00B1784F" w:rsidRDefault="00B1784F" w:rsidP="00B1784F">
      <w:pPr>
        <w:rPr>
          <w:b/>
          <w:bCs/>
          <w:color w:val="215E99" w:themeColor="text2" w:themeTint="BF"/>
          <w:sz w:val="48"/>
          <w:szCs w:val="48"/>
        </w:rPr>
      </w:pPr>
      <w:r w:rsidRPr="00B1784F">
        <w:rPr>
          <w:b/>
          <w:bCs/>
          <w:color w:val="215E99" w:themeColor="text2" w:themeTint="BF"/>
          <w:sz w:val="48"/>
          <w:szCs w:val="48"/>
        </w:rPr>
        <w:t xml:space="preserve">July 2025  </w:t>
      </w:r>
    </w:p>
    <w:p w14:paraId="364D673C" w14:textId="62B6A5DE" w:rsidR="00B1784F" w:rsidRDefault="00B1784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4063388" wp14:editId="6EECBEDE">
            <wp:extent cx="4867275" cy="6096000"/>
            <wp:effectExtent l="0" t="0" r="9525" b="0"/>
            <wp:docPr id="2137089218" name="Picture 1" descr="Solar panels o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89218" name="Picture 1" descr="Solar panels on a fiel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A287" w14:textId="77777777" w:rsidR="00B1784F" w:rsidRDefault="00B1784F">
      <w:pPr>
        <w:rPr>
          <w:b/>
          <w:bCs/>
          <w:sz w:val="32"/>
          <w:szCs w:val="32"/>
        </w:rPr>
      </w:pPr>
    </w:p>
    <w:p w14:paraId="010FFF7F" w14:textId="77777777" w:rsidR="00B1784F" w:rsidRDefault="00B1784F">
      <w:pPr>
        <w:rPr>
          <w:b/>
          <w:bCs/>
          <w:sz w:val="32"/>
          <w:szCs w:val="32"/>
        </w:rPr>
      </w:pPr>
    </w:p>
    <w:p w14:paraId="6DBB7B35" w14:textId="3135A3AC" w:rsidR="00B1784F" w:rsidRPr="00B1784F" w:rsidRDefault="00B1784F">
      <w:pPr>
        <w:rPr>
          <w:b/>
          <w:bCs/>
          <w:color w:val="215E99" w:themeColor="text2" w:themeTint="BF"/>
          <w:sz w:val="32"/>
          <w:szCs w:val="32"/>
        </w:rPr>
      </w:pPr>
      <w:r w:rsidRPr="00B1784F">
        <w:rPr>
          <w:b/>
          <w:bCs/>
          <w:color w:val="215E99" w:themeColor="text2" w:themeTint="BF"/>
          <w:sz w:val="32"/>
          <w:szCs w:val="32"/>
        </w:rPr>
        <w:lastRenderedPageBreak/>
        <w:t>Bathgate Solar Coop Project</w:t>
      </w:r>
    </w:p>
    <w:p w14:paraId="0AFC75A4" w14:textId="5D8BBF38" w:rsidR="009222E2" w:rsidRDefault="009222E2">
      <w:r>
        <w:t xml:space="preserve">The </w:t>
      </w:r>
      <w:r w:rsidR="00C209A6">
        <w:t xml:space="preserve">project we want to develop is the installation of solar panels </w:t>
      </w:r>
      <w:r w:rsidR="00B13DB5">
        <w:t xml:space="preserve">in </w:t>
      </w:r>
      <w:r w:rsidR="004516A0">
        <w:t xml:space="preserve">all of </w:t>
      </w:r>
      <w:r w:rsidR="00B13DB5">
        <w:t xml:space="preserve">Bathgate Car Parks </w:t>
      </w:r>
      <w:r w:rsidR="00C41F33">
        <w:t xml:space="preserve">to generate </w:t>
      </w:r>
      <w:r w:rsidR="00332FEE">
        <w:t>power for the benefit of the town.</w:t>
      </w:r>
      <w:r w:rsidR="00566C0D">
        <w:t xml:space="preserve"> This type of scheme is </w:t>
      </w:r>
      <w:r w:rsidR="00944D72">
        <w:t>already in operation in different areas of Europe</w:t>
      </w:r>
      <w:r w:rsidR="00F70053">
        <w:t>.</w:t>
      </w:r>
    </w:p>
    <w:p w14:paraId="238ACA85" w14:textId="77777777" w:rsidR="00B1784F" w:rsidRDefault="004B63D6" w:rsidP="00B1784F">
      <w:pPr>
        <w:pStyle w:val="ListParagraph"/>
        <w:numPr>
          <w:ilvl w:val="0"/>
          <w:numId w:val="1"/>
        </w:numPr>
      </w:pPr>
      <w:r>
        <w:t xml:space="preserve">The </w:t>
      </w:r>
      <w:r w:rsidR="00076A40">
        <w:t xml:space="preserve">power would be </w:t>
      </w:r>
      <w:r w:rsidR="00F021EC">
        <w:t xml:space="preserve">sold to the grid </w:t>
      </w:r>
      <w:r w:rsidR="009A0FDF">
        <w:t xml:space="preserve">and used to power </w:t>
      </w:r>
      <w:r w:rsidR="00756C04">
        <w:t>recharging units for electric vehicles</w:t>
      </w:r>
      <w:r w:rsidR="00B1784F">
        <w:t xml:space="preserve"> and for any community projects requiring energy</w:t>
      </w:r>
      <w:r w:rsidR="00756C04">
        <w:t>.</w:t>
      </w:r>
    </w:p>
    <w:p w14:paraId="51B7339C" w14:textId="1E8806B7" w:rsidR="00332FEE" w:rsidRDefault="00B1784F" w:rsidP="00B1784F">
      <w:pPr>
        <w:pStyle w:val="ListParagraph"/>
        <w:numPr>
          <w:ilvl w:val="0"/>
          <w:numId w:val="1"/>
        </w:numPr>
      </w:pPr>
      <w:r>
        <w:t xml:space="preserve">The financial benefit coming from the project would be spent on projects to improve the quality of life for Bathgate residents </w:t>
      </w:r>
    </w:p>
    <w:p w14:paraId="0A1BBD98" w14:textId="31B1E61B" w:rsidR="00D4733E" w:rsidRDefault="00702B86">
      <w:r>
        <w:t xml:space="preserve">There are </w:t>
      </w:r>
      <w:r w:rsidR="00B1784F">
        <w:t>eight public</w:t>
      </w:r>
      <w:r w:rsidR="00F75033">
        <w:t xml:space="preserve"> car parks </w:t>
      </w:r>
      <w:r w:rsidR="00742760">
        <w:t xml:space="preserve">in Bathgate and </w:t>
      </w:r>
      <w:r w:rsidR="00A75011">
        <w:t xml:space="preserve">a large private </w:t>
      </w:r>
      <w:r w:rsidR="00732502">
        <w:t xml:space="preserve">car park </w:t>
      </w:r>
      <w:r w:rsidR="00A910EC">
        <w:t xml:space="preserve">at the </w:t>
      </w:r>
      <w:r w:rsidR="00643B7B">
        <w:t xml:space="preserve">town centre </w:t>
      </w:r>
      <w:r w:rsidR="00A910EC">
        <w:t xml:space="preserve">retail park </w:t>
      </w:r>
      <w:r w:rsidR="00B22279">
        <w:t xml:space="preserve">and the biggest car park </w:t>
      </w:r>
      <w:r w:rsidR="004749E5">
        <w:t xml:space="preserve">in town </w:t>
      </w:r>
      <w:r w:rsidR="00643B7B">
        <w:t xml:space="preserve">is </w:t>
      </w:r>
      <w:r w:rsidR="00B22279">
        <w:t xml:space="preserve">at the </w:t>
      </w:r>
      <w:r w:rsidR="00767E84">
        <w:t>Railway</w:t>
      </w:r>
      <w:r w:rsidR="00EA3E68">
        <w:t xml:space="preserve"> </w:t>
      </w:r>
      <w:r w:rsidR="00D4733E">
        <w:t>Station.</w:t>
      </w:r>
      <w:r w:rsidR="004749E5">
        <w:t xml:space="preserve"> </w:t>
      </w:r>
      <w:r w:rsidR="00140386">
        <w:t xml:space="preserve">The car parks at the two superstores in Bathgate </w:t>
      </w:r>
      <w:r w:rsidR="00EA3E68">
        <w:t xml:space="preserve">Tesco and </w:t>
      </w:r>
      <w:r w:rsidR="00B267FC">
        <w:t>Morrisons</w:t>
      </w:r>
      <w:r w:rsidR="00EA3E68">
        <w:t xml:space="preserve"> </w:t>
      </w:r>
      <w:r w:rsidR="00A440D8">
        <w:t>are</w:t>
      </w:r>
      <w:r w:rsidR="00140386">
        <w:t xml:space="preserve"> also </w:t>
      </w:r>
      <w:r w:rsidR="00A440D8">
        <w:t xml:space="preserve">very big. </w:t>
      </w:r>
    </w:p>
    <w:p w14:paraId="0F0C5874" w14:textId="4D81BA71" w:rsidR="00702B86" w:rsidRDefault="00A440D8">
      <w:r>
        <w:t xml:space="preserve">Our aim would be to </w:t>
      </w:r>
      <w:r w:rsidR="008321CC">
        <w:t xml:space="preserve">persuade the private owners </w:t>
      </w:r>
      <w:r w:rsidR="00B56A93">
        <w:t xml:space="preserve">in the town </w:t>
      </w:r>
      <w:r w:rsidR="008321CC">
        <w:t>to join in the scheme</w:t>
      </w:r>
      <w:r w:rsidR="00EA3E68">
        <w:t xml:space="preserve"> after the public car parks were up and running</w:t>
      </w:r>
      <w:r w:rsidR="00B267FC">
        <w:t xml:space="preserve"> and proved their viability</w:t>
      </w:r>
      <w:r w:rsidR="00B56A93">
        <w:t xml:space="preserve">. The local council </w:t>
      </w:r>
      <w:r w:rsidR="00B12067">
        <w:t xml:space="preserve">we are sure would be cooperative </w:t>
      </w:r>
      <w:r w:rsidR="00821672">
        <w:t xml:space="preserve">as they support climate change </w:t>
      </w:r>
      <w:proofErr w:type="gramStart"/>
      <w:r w:rsidR="00821672">
        <w:t xml:space="preserve">initiatives </w:t>
      </w:r>
      <w:r w:rsidR="007E31DF">
        <w:t>.</w:t>
      </w:r>
      <w:proofErr w:type="gramEnd"/>
      <w:r w:rsidR="007E31DF">
        <w:t xml:space="preserve"> </w:t>
      </w:r>
    </w:p>
    <w:p w14:paraId="6A44F104" w14:textId="692B76E3" w:rsidR="00EA3E68" w:rsidRDefault="00EA3E68">
      <w:r>
        <w:t xml:space="preserve">The Council owned Car Parks </w:t>
      </w:r>
    </w:p>
    <w:p w14:paraId="2CA40F8D" w14:textId="5E920E50" w:rsidR="00B1784F" w:rsidRPr="00B1784F" w:rsidRDefault="00B1784F" w:rsidP="00B1784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1784F">
        <w:rPr>
          <w:rFonts w:eastAsia="Times New Roman" w:cs="Times New Roman"/>
          <w:kern w:val="0"/>
          <w:lang w:eastAsia="en-GB"/>
          <w14:ligatures w14:val="none"/>
        </w:rPr>
        <w:t xml:space="preserve">The table detailing council car parks in Bathgate, </w:t>
      </w:r>
      <w:r w:rsidRPr="00B1784F">
        <w:rPr>
          <w:rFonts w:eastAsia="Times New Roman" w:cs="Times New Roman"/>
          <w:color w:val="000000"/>
          <w:kern w:val="0"/>
          <w:lang w:eastAsia="en-GB"/>
          <w14:ligatures w14:val="none"/>
        </w:rPr>
        <w:t>the areas are approximate.</w:t>
      </w:r>
      <w:r w:rsidRPr="00B1784F">
        <w:rPr>
          <w:rFonts w:eastAsia="Times New Roman" w:cs="Times New Roman"/>
          <w:kern w:val="0"/>
          <w:lang w:eastAsia="en-GB"/>
          <w14:ligatures w14:val="none"/>
        </w:rPr>
        <w:t> </w:t>
      </w:r>
    </w:p>
    <w:tbl>
      <w:tblPr>
        <w:tblpPr w:leftFromText="180" w:rightFromText="180" w:vertAnchor="text"/>
        <w:tblW w:w="8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1022"/>
        <w:gridCol w:w="1182"/>
        <w:gridCol w:w="1096"/>
      </w:tblGrid>
      <w:tr w:rsidR="00B1784F" w:rsidRPr="00B1784F" w14:paraId="28F4DECF" w14:textId="77777777" w:rsidTr="00B1784F">
        <w:trPr>
          <w:trHeight w:val="200"/>
        </w:trPr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6D77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Car Park Locations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52E84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Spaces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hideMark/>
          </w:tcPr>
          <w:p w14:paraId="5086784F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51C2604A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   Area Sqm</w:t>
            </w:r>
          </w:p>
        </w:tc>
      </w:tr>
      <w:tr w:rsidR="00B1784F" w:rsidRPr="00B1784F" w14:paraId="13202EB0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48291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Acredale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1C693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68BBD56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EB4E1B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3,984</w:t>
            </w:r>
          </w:p>
        </w:tc>
      </w:tr>
      <w:tr w:rsidR="00B1784F" w:rsidRPr="00B1784F" w14:paraId="01B9DEE0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BD759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Mansefield</w:t>
            </w:r>
            <w:proofErr w:type="spellEnd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16120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BA7E2C4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B34063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859</w:t>
            </w:r>
          </w:p>
        </w:tc>
      </w:tr>
      <w:tr w:rsidR="00B1784F" w:rsidRPr="00B1784F" w14:paraId="22C82A4C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7E0BC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Mill Road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57055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79323CE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14EC8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1,149</w:t>
            </w:r>
          </w:p>
        </w:tc>
      </w:tr>
      <w:tr w:rsidR="00B1784F" w:rsidRPr="00B1784F" w14:paraId="0B984619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B5EB4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Gardners</w:t>
            </w:r>
            <w:proofErr w:type="spellEnd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Lane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D08F6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78DC307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7F882E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3,409</w:t>
            </w:r>
          </w:p>
        </w:tc>
      </w:tr>
      <w:tr w:rsidR="00B1784F" w:rsidRPr="00B1784F" w14:paraId="43160CEF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5EA72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King Street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00E8D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FB09DE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670E7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1,364</w:t>
            </w:r>
          </w:p>
        </w:tc>
      </w:tr>
      <w:tr w:rsidR="00B1784F" w:rsidRPr="00B1784F" w14:paraId="46EBAB1A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AFD73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Gideon Street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9E957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4D969CD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BCA3FC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1,273</w:t>
            </w:r>
          </w:p>
        </w:tc>
      </w:tr>
      <w:tr w:rsidR="00B1784F" w:rsidRPr="00B1784F" w14:paraId="5FD84735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FD2E5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MarjorieBanks</w:t>
            </w:r>
            <w:proofErr w:type="spellEnd"/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7BDA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0E19D0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0FC35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616</w:t>
            </w:r>
          </w:p>
        </w:tc>
      </w:tr>
      <w:tr w:rsidR="00B1784F" w:rsidRPr="00B1784F" w14:paraId="4E3ACE0F" w14:textId="77777777" w:rsidTr="00B1784F">
        <w:trPr>
          <w:trHeight w:val="2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0A0D0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Hopetoun Street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5F5E5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7074415" w14:textId="77777777" w:rsidR="00B1784F" w:rsidRPr="00B1784F" w:rsidRDefault="00B1784F" w:rsidP="00B1784F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CBB711" w14:textId="77777777" w:rsidR="00B1784F" w:rsidRPr="00B1784F" w:rsidRDefault="00B1784F" w:rsidP="00B1784F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B1784F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538</w:t>
            </w:r>
          </w:p>
        </w:tc>
      </w:tr>
    </w:tbl>
    <w:p w14:paraId="40FFE8D8" w14:textId="77777777" w:rsidR="00B1784F" w:rsidRPr="00B1784F" w:rsidRDefault="00B1784F" w:rsidP="00B1784F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349486AD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0FF7D61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2479C69C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6EC51660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9F85A90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67B6F930" w14:textId="77777777" w:rsidR="00B1784F" w:rsidRPr="00B1784F" w:rsidRDefault="00B1784F" w:rsidP="00B1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1784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F39F8C9" w14:textId="516D3DB7" w:rsidR="00643B7B" w:rsidRDefault="00B1784F" w:rsidP="00B1784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</w:t>
      </w:r>
      <w:r>
        <w:t>e</w:t>
      </w:r>
      <w:r w:rsidR="00643B7B">
        <w:t xml:space="preserve"> solar panels would be installed on steel framework above the car parking bays </w:t>
      </w:r>
      <w:proofErr w:type="gramStart"/>
      <w:r w:rsidR="00643B7B">
        <w:t>similar to</w:t>
      </w:r>
      <w:proofErr w:type="gramEnd"/>
      <w:r w:rsidR="00643B7B">
        <w:t xml:space="preserve"> the shelter provision built into car parks in Mediterranean countries. </w:t>
      </w:r>
      <w:r w:rsidR="00D82856">
        <w:t xml:space="preserve"> </w:t>
      </w:r>
    </w:p>
    <w:p w14:paraId="416E6DAA" w14:textId="651B63BC" w:rsidR="00643B7B" w:rsidRDefault="00643B7B">
      <w:r>
        <w:rPr>
          <w:noProof/>
        </w:rPr>
        <w:lastRenderedPageBreak/>
        <w:drawing>
          <wp:inline distT="0" distB="0" distL="0" distR="0" wp14:anchorId="66CE1D34" wp14:editId="601A2934">
            <wp:extent cx="3028950" cy="1514475"/>
            <wp:effectExtent l="0" t="0" r="0" b="9525"/>
            <wp:docPr id="1919250153" name="Picture 1" descr="Solar panels on a roo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50153" name="Picture 1" descr="Solar panels on a roof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0F6F1D9" w14:textId="0028A4AE" w:rsidR="00A440D8" w:rsidRDefault="00643B7B">
      <w:r>
        <w:t xml:space="preserve">Solar panel technology is improving every year so we would aim to have the latest </w:t>
      </w:r>
      <w:r w:rsidR="00D718CE">
        <w:t xml:space="preserve">on the market when the project gets the go ahead </w:t>
      </w:r>
      <w:r w:rsidR="00B1784F">
        <w:t>to</w:t>
      </w:r>
      <w:r w:rsidR="00D718CE">
        <w:t xml:space="preserve"> build. </w:t>
      </w:r>
    </w:p>
    <w:p w14:paraId="2009A426" w14:textId="1568C89D" w:rsidR="00D718CE" w:rsidRDefault="00D718CE" w:rsidP="004768CB">
      <w:r>
        <w:t xml:space="preserve">The Community Development Trust would manage the project through the various stages up to launch but envisage establishing a separate organisation to manage and maintain the solar farm for the benefit of the community. The organisation could be a Cooperative </w:t>
      </w:r>
      <w:r w:rsidR="00DF7CB6">
        <w:t xml:space="preserve">model </w:t>
      </w:r>
      <w:r>
        <w:t xml:space="preserve">with all residents of the community automatically being members. Members would guide the use of benefit generated into projects that would improve the quality of life of Bathgate residents. </w:t>
      </w:r>
      <w:r w:rsidR="004768CB">
        <w:t xml:space="preserve"> Other structures can be considered but the principle of community control and community benefit is paramount </w:t>
      </w:r>
    </w:p>
    <w:p w14:paraId="5BF0BE7D" w14:textId="38BA5B7F" w:rsidR="00D4733E" w:rsidRPr="00B1784F" w:rsidRDefault="00D4733E" w:rsidP="004768CB">
      <w:pPr>
        <w:rPr>
          <w:b/>
          <w:bCs/>
          <w:i/>
          <w:iCs/>
          <w:color w:val="215E99" w:themeColor="text2" w:themeTint="BF"/>
        </w:rPr>
      </w:pPr>
      <w:r w:rsidRPr="00B1784F">
        <w:rPr>
          <w:b/>
          <w:bCs/>
          <w:i/>
          <w:iCs/>
          <w:color w:val="215E99" w:themeColor="text2" w:themeTint="BF"/>
        </w:rPr>
        <w:t>Phase One</w:t>
      </w:r>
    </w:p>
    <w:p w14:paraId="559E5DDC" w14:textId="77777777" w:rsidR="00D718CE" w:rsidRDefault="00D718CE">
      <w:r>
        <w:t>We will seek funding to employ a project development employee to develop the feasibility study of the project and develop a business plan</w:t>
      </w:r>
    </w:p>
    <w:p w14:paraId="6AD23D04" w14:textId="77777777" w:rsidR="004768CB" w:rsidRPr="00B1784F" w:rsidRDefault="00D718CE">
      <w:pPr>
        <w:rPr>
          <w:b/>
          <w:bCs/>
          <w:i/>
          <w:iCs/>
          <w:color w:val="215E99" w:themeColor="text2" w:themeTint="BF"/>
        </w:rPr>
      </w:pPr>
      <w:r w:rsidRPr="00B1784F">
        <w:rPr>
          <w:b/>
          <w:bCs/>
          <w:i/>
          <w:iCs/>
          <w:color w:val="215E99" w:themeColor="text2" w:themeTint="BF"/>
        </w:rPr>
        <w:t xml:space="preserve">Phase </w:t>
      </w:r>
      <w:r w:rsidR="004768CB" w:rsidRPr="00B1784F">
        <w:rPr>
          <w:b/>
          <w:bCs/>
          <w:i/>
          <w:iCs/>
          <w:color w:val="215E99" w:themeColor="text2" w:themeTint="BF"/>
        </w:rPr>
        <w:t xml:space="preserve">Two </w:t>
      </w:r>
    </w:p>
    <w:p w14:paraId="582BF513" w14:textId="2FD66768" w:rsidR="004768CB" w:rsidRDefault="004768CB">
      <w:r>
        <w:t>Seek funding for extra staff to conduct a community consultation</w:t>
      </w:r>
      <w:r w:rsidR="00D718CE">
        <w:t xml:space="preserve"> </w:t>
      </w:r>
      <w:r>
        <w:t xml:space="preserve">on the project and develop </w:t>
      </w:r>
      <w:r w:rsidR="00D4733E">
        <w:t>and lodge</w:t>
      </w:r>
      <w:r>
        <w:t xml:space="preserve"> a planning application. </w:t>
      </w:r>
    </w:p>
    <w:p w14:paraId="31293988" w14:textId="77777777" w:rsidR="004768CB" w:rsidRPr="00B1784F" w:rsidRDefault="004768CB">
      <w:pPr>
        <w:rPr>
          <w:b/>
          <w:bCs/>
          <w:i/>
          <w:iCs/>
          <w:color w:val="215E99" w:themeColor="text2" w:themeTint="BF"/>
        </w:rPr>
      </w:pPr>
      <w:r w:rsidRPr="00B1784F">
        <w:rPr>
          <w:b/>
          <w:bCs/>
          <w:i/>
          <w:iCs/>
          <w:color w:val="215E99" w:themeColor="text2" w:themeTint="BF"/>
        </w:rPr>
        <w:t xml:space="preserve">Phase Three </w:t>
      </w:r>
    </w:p>
    <w:p w14:paraId="5CCA457A" w14:textId="77777777" w:rsidR="004768CB" w:rsidRDefault="004768CB">
      <w:r>
        <w:t>Seek funding for a procurement team to develop a specification and tender documents and take the project to tender and evaluation.</w:t>
      </w:r>
    </w:p>
    <w:p w14:paraId="1BF5032F" w14:textId="3995EDF9" w:rsidR="004768CB" w:rsidRPr="00B1784F" w:rsidRDefault="004768CB">
      <w:pPr>
        <w:rPr>
          <w:b/>
          <w:bCs/>
          <w:i/>
          <w:iCs/>
          <w:color w:val="215E99" w:themeColor="text2" w:themeTint="BF"/>
        </w:rPr>
      </w:pPr>
      <w:r w:rsidRPr="00B1784F">
        <w:rPr>
          <w:b/>
          <w:bCs/>
          <w:i/>
          <w:iCs/>
          <w:color w:val="215E99" w:themeColor="text2" w:themeTint="BF"/>
        </w:rPr>
        <w:t xml:space="preserve">Phase Four </w:t>
      </w:r>
    </w:p>
    <w:p w14:paraId="757EBCAE" w14:textId="0B359901" w:rsidR="004768CB" w:rsidRDefault="004768CB">
      <w:r>
        <w:t xml:space="preserve">Establish the controlling body </w:t>
      </w:r>
      <w:r w:rsidR="00D4733E">
        <w:t>that will manage the facilities</w:t>
      </w:r>
    </w:p>
    <w:p w14:paraId="65ADB526" w14:textId="538D3825" w:rsidR="00D718CE" w:rsidRDefault="004768CB">
      <w:r>
        <w:t xml:space="preserve">Seek funding to pay contractors to build the solar farms and begin operations   </w:t>
      </w:r>
      <w:r w:rsidR="00D718CE">
        <w:t xml:space="preserve"> </w:t>
      </w:r>
    </w:p>
    <w:p w14:paraId="4DF20CCF" w14:textId="77777777" w:rsidR="00D4733E" w:rsidRDefault="00D4733E"/>
    <w:p w14:paraId="563C4919" w14:textId="411C41D9" w:rsidR="00D4733E" w:rsidRPr="00B1784F" w:rsidRDefault="00D4733E">
      <w:pPr>
        <w:rPr>
          <w:b/>
          <w:bCs/>
          <w:color w:val="215E99" w:themeColor="text2" w:themeTint="BF"/>
        </w:rPr>
      </w:pPr>
      <w:r w:rsidRPr="00B1784F">
        <w:rPr>
          <w:b/>
          <w:bCs/>
          <w:color w:val="215E99" w:themeColor="text2" w:themeTint="BF"/>
        </w:rPr>
        <w:t xml:space="preserve">Bathgate Community Development Trust Ltd </w:t>
      </w:r>
    </w:p>
    <w:p w14:paraId="31ED63B0" w14:textId="42D9BA43" w:rsidR="00D4733E" w:rsidRPr="00D4733E" w:rsidRDefault="00B1784F">
      <w:pPr>
        <w:rPr>
          <w:b/>
          <w:bCs/>
        </w:rPr>
      </w:pPr>
      <w:hyperlink r:id="rId7" w:history="1">
        <w:r w:rsidRPr="00E92131">
          <w:rPr>
            <w:rStyle w:val="Hyperlink"/>
            <w:b/>
            <w:bCs/>
          </w:rPr>
          <w:t>contact@bathgatecdt.org</w:t>
        </w:r>
      </w:hyperlink>
      <w:r>
        <w:rPr>
          <w:b/>
          <w:bCs/>
        </w:rPr>
        <w:t xml:space="preserve">       </w:t>
      </w:r>
      <w:hyperlink r:id="rId8" w:history="1">
        <w:r w:rsidRPr="00B1784F">
          <w:rPr>
            <w:rStyle w:val="Hyperlink"/>
            <w:b/>
            <w:bCs/>
            <w:color w:val="215E99" w:themeColor="text2" w:themeTint="BF"/>
          </w:rPr>
          <w:t>www.bathgatecdt.org</w:t>
        </w:r>
      </w:hyperlink>
      <w:r w:rsidRPr="00B1784F">
        <w:rPr>
          <w:b/>
          <w:bCs/>
          <w:color w:val="215E99" w:themeColor="text2" w:themeTint="BF"/>
        </w:rPr>
        <w:t xml:space="preserve">       July 2025</w:t>
      </w:r>
    </w:p>
    <w:sectPr w:rsidR="00D4733E" w:rsidRPr="00D47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20C1A"/>
    <w:multiLevelType w:val="hybridMultilevel"/>
    <w:tmpl w:val="914236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5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1"/>
    <w:rsid w:val="000318A2"/>
    <w:rsid w:val="00076A40"/>
    <w:rsid w:val="00140386"/>
    <w:rsid w:val="00332FEE"/>
    <w:rsid w:val="003F49A2"/>
    <w:rsid w:val="004516A0"/>
    <w:rsid w:val="004749E5"/>
    <w:rsid w:val="004768CB"/>
    <w:rsid w:val="004B17F2"/>
    <w:rsid w:val="004B63D6"/>
    <w:rsid w:val="00566C0D"/>
    <w:rsid w:val="005C0A6A"/>
    <w:rsid w:val="00643B7B"/>
    <w:rsid w:val="00702B86"/>
    <w:rsid w:val="00732502"/>
    <w:rsid w:val="00742760"/>
    <w:rsid w:val="00756C04"/>
    <w:rsid w:val="00767E84"/>
    <w:rsid w:val="007A18C9"/>
    <w:rsid w:val="007E31DF"/>
    <w:rsid w:val="00821672"/>
    <w:rsid w:val="008321CC"/>
    <w:rsid w:val="009222E2"/>
    <w:rsid w:val="00944D72"/>
    <w:rsid w:val="0095644A"/>
    <w:rsid w:val="009A0FDF"/>
    <w:rsid w:val="00A440D8"/>
    <w:rsid w:val="00A75011"/>
    <w:rsid w:val="00A910EC"/>
    <w:rsid w:val="00B00E06"/>
    <w:rsid w:val="00B12067"/>
    <w:rsid w:val="00B13DB5"/>
    <w:rsid w:val="00B1784F"/>
    <w:rsid w:val="00B22279"/>
    <w:rsid w:val="00B267FC"/>
    <w:rsid w:val="00B56A93"/>
    <w:rsid w:val="00C170E1"/>
    <w:rsid w:val="00C209A6"/>
    <w:rsid w:val="00C41F33"/>
    <w:rsid w:val="00D4733E"/>
    <w:rsid w:val="00D718CE"/>
    <w:rsid w:val="00D82856"/>
    <w:rsid w:val="00DF7CB6"/>
    <w:rsid w:val="00EA3E68"/>
    <w:rsid w:val="00F021EC"/>
    <w:rsid w:val="00F70053"/>
    <w:rsid w:val="00F75033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F905"/>
  <w15:chartTrackingRefBased/>
  <w15:docId w15:val="{1645E478-F026-C143-BD97-D730026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0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7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gatecd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bathgatecd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Stavert</dc:creator>
  <cp:keywords/>
  <dc:description/>
  <cp:lastModifiedBy>Donald Stavert</cp:lastModifiedBy>
  <cp:revision>3</cp:revision>
  <cp:lastPrinted>2025-07-14T12:43:00Z</cp:lastPrinted>
  <dcterms:created xsi:type="dcterms:W3CDTF">2025-07-14T12:37:00Z</dcterms:created>
  <dcterms:modified xsi:type="dcterms:W3CDTF">2025-07-14T18:03:00Z</dcterms:modified>
</cp:coreProperties>
</file>