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2735 S 99th Avenue Suite G-103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7368" cy="954053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368" cy="954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Tolleson, Arizona 85353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Phone:623 936-7387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Fax:623 936-6295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www.tollesonanimalclinic.com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3600" w:right="0" w:firstLine="0"/>
        <w:jc w:val="left"/>
        <w:rPr>
          <w:rFonts w:ascii="Verdana" w:cs="Verdana" w:eastAsia="Verdana" w:hAnsi="Verdana"/>
          <w:b w:val="1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Voucher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vertAlign w:val="baseline"/>
          <w:rtl w:val="0"/>
        </w:rPr>
        <w:t xml:space="preserve">Information Handout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rebuchet MS" w:cs="Trebuchet MS" w:eastAsia="Trebuchet MS" w:hAnsi="Trebuchet MS"/>
          <w:color w:val="98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980000"/>
          <w:sz w:val="22"/>
          <w:szCs w:val="22"/>
          <w:rtl w:val="0"/>
        </w:rPr>
        <w:t xml:space="preserve">We partner with Fix.Adopt.Save to provide Spays and Neuters at a lower cost. The pink voucher covers the cost of the surgery; however, it does not cover the additional expenses we require such as pain medication. We will need a pre-surgery exam (this is at no cost; however, we do have you leave a deposit to schedule the surgery) before scheduling the surgery for your pet. This is so the doctor can examine your pet and answer any questions.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color w:val="351c75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51c75"/>
          <w:sz w:val="20"/>
          <w:szCs w:val="20"/>
          <w:vertAlign w:val="baseline"/>
          <w:rtl w:val="0"/>
        </w:rPr>
        <w:t xml:space="preserve">Required Expenses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rtl w:val="0"/>
        </w:rPr>
        <w:t xml:space="preserve">Must be paid to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rtl w:val="0"/>
        </w:rPr>
        <w:t xml:space="preserve">Tolleson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 Animal Clinic at the time the procedure is performed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70.0" w:type="dxa"/>
        <w:tblLayout w:type="fixed"/>
        <w:tblLook w:val="0000"/>
      </w:tblPr>
      <w:tblGrid>
        <w:gridCol w:w="1875"/>
        <w:gridCol w:w="9510"/>
        <w:tblGridChange w:id="0">
          <w:tblGrid>
            <w:gridCol w:w="1875"/>
            <w:gridCol w:w="9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Included with the pink voucher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Rabies Vaccination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your pet does not have a current rabies vaccination, one will be required before the procedure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). The pink voucher covers the cost of a Rabies vaccine and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2"/>
                <w:szCs w:val="22"/>
                <w:rtl w:val="0"/>
              </w:rPr>
              <w:t xml:space="preserve">ONE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Distemper/Parvo vaccine. Your pet will need a booster of the Distemper/Parvo vaccine 3-4 weeks after the first one if they’ve never had the vaccine before at an additional cost.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$90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u w:val="single"/>
                <w:rtl w:val="0"/>
              </w:rPr>
              <w:t xml:space="preserve">Preoperative Bloodwork</w:t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2"/>
                <w:szCs w:val="22"/>
                <w:u w:val="single"/>
                <w:rtl w:val="0"/>
              </w:rPr>
              <w:t xml:space="preserve">REQUIRED 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for all pets over 3 years of age; optional for all other pets)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$100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u w:val="single"/>
                <w:rtl w:val="0"/>
              </w:rPr>
              <w:t xml:space="preserve">Spay &amp; Neuter Procedure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Spaying</w:t>
            </w: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takes place while your pet is under anesthesia. During the procedure, your pet will receive fluids via an IV-Catheter and vital signs will be monitored by a skilled technician. 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z w:val="22"/>
                <w:szCs w:val="22"/>
                <w:rtl w:val="0"/>
              </w:rPr>
              <w:t xml:space="preserve">Note: 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Pets must fast overnight prior to spaying procedure.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2"/>
                <w:szCs w:val="22"/>
                <w:rtl w:val="0"/>
              </w:rPr>
              <w:t xml:space="preserve">Pain medication and an e-collar are included. 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One dose of pain medication is administered at the time of the procedure and additional doses are sent home with the owner. An e-collar, better known as the cone of shame, is recommended to prevent your pet from licking their incision, causing an infection and/or opening the surgery site.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$100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u w:val="single"/>
                <w:rtl w:val="0"/>
              </w:rPr>
              <w:t xml:space="preserve">Deposit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br w:type="textWrapping"/>
              <w:t xml:space="preserve">This deposit is used to hold your pet’s surgery slot and will be applied to the cost of the procedure.</w:t>
              <w:br w:type="textWrapping"/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sz w:val="22"/>
                <w:szCs w:val="22"/>
                <w:rtl w:val="0"/>
              </w:rPr>
              <w:t xml:space="preserve">*If you need to cancel or postpone your procedure, let us know 48 hours in advance, otherwise, you forfeit your deposit and will incur an additional deposit of $100 to reschedule.</w:t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color w:val="351c75"/>
          <w:sz w:val="20"/>
          <w:szCs w:val="2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51c75"/>
          <w:sz w:val="20"/>
          <w:szCs w:val="20"/>
          <w:vertAlign w:val="baseline"/>
          <w:rtl w:val="0"/>
        </w:rPr>
        <w:t xml:space="preserve">Additional Charges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rtl w:val="0"/>
        </w:rPr>
        <w:t xml:space="preserve">Dependent upon your pet meeting specific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70.0" w:type="dxa"/>
        <w:jc w:val="left"/>
        <w:tblInd w:w="-55.0" w:type="dxa"/>
        <w:tblLayout w:type="fixed"/>
        <w:tblLook w:val="0000"/>
      </w:tblPr>
      <w:tblGrid>
        <w:gridCol w:w="1350"/>
        <w:gridCol w:w="10020"/>
        <w:tblGridChange w:id="0">
          <w:tblGrid>
            <w:gridCol w:w="1350"/>
            <w:gridCol w:w="10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$150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u w:val="single"/>
                <w:rtl w:val="0"/>
              </w:rPr>
              <w:t xml:space="preserve">In heat/Pregnancy/Overweight.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A complicated spay requires more time to complete the procedure to help minimize complications after surgery. If your pet's surgery will need added surgical and anesthesia time, you will be charged.</w:t>
            </w:r>
          </w:p>
        </w:tc>
      </w:tr>
    </w:tbl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color w:val="351c7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color w:val="351c75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51c75"/>
          <w:sz w:val="20"/>
          <w:szCs w:val="20"/>
          <w:vertAlign w:val="baseline"/>
          <w:rtl w:val="0"/>
        </w:rPr>
        <w:t xml:space="preserve">Optional Services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Montserrat" w:cs="Montserrat" w:eastAsia="Montserrat" w:hAnsi="Montserrat"/>
          <w:color w:val="351c75"/>
          <w:sz w:val="20"/>
          <w:szCs w:val="20"/>
          <w:vertAlign w:val="baseline"/>
          <w:rtl w:val="0"/>
        </w:rPr>
        <w:t xml:space="preserve">tems you may elect to perform while your pet is under anesthesia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color w:val="00000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70.0" w:type="dxa"/>
        <w:jc w:val="left"/>
        <w:tblInd w:w="-55.0" w:type="dxa"/>
        <w:tblLayout w:type="fixed"/>
        <w:tblLook w:val="0000"/>
      </w:tblPr>
      <w:tblGrid>
        <w:gridCol w:w="945"/>
        <w:gridCol w:w="10425"/>
        <w:tblGridChange w:id="0">
          <w:tblGrid>
            <w:gridCol w:w="945"/>
            <w:gridCol w:w="10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$35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u w:val="single"/>
                <w:rtl w:val="0"/>
              </w:rPr>
              <w:t xml:space="preserve">Phovia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Phovia is LED light therapy that helps reduce healing time up to 50%.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Nail trim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can more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closely</w:t>
            </w: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trim your pet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 nails while under anesthesia to avoid discomfort for your pet.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u w:val="single"/>
                <w:rtl w:val="0"/>
              </w:rPr>
              <w:t xml:space="preserve">Microchip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your pet is ever lost, a microchip can help reunite you with your pet. This fee includes the insertion of the microchip and lifetime registration.</w:t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rebuchet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character" w:styleId="Footnote_Symbol">
    <w:name w:val="Footnote_Symbol"/>
    <w:next w:val="Footnote_Symbo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dnote_Symbol">
    <w:name w:val="Endnote_Symbol"/>
    <w:next w:val="Endnote_Symbo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otnote_anchor">
    <w:name w:val="Footnote_anchor"/>
    <w:next w:val="Footnote_anchor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dnote_anchor">
    <w:name w:val="Endnote_anchor"/>
    <w:next w:val="Endnote_anchor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otnoteAnchor">
    <w:name w:val="Footnote Anchor"/>
    <w:next w:val="FootnoteAnchor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dnoteAnchor">
    <w:name w:val="Endnote Anchor"/>
    <w:next w:val="EndnoteAnchor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Noto Sans Devanagari" w:eastAsia="AR PL SungtiL GB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Contents">
    <w:name w:val="Table Contents"/>
    <w:basedOn w:val="TextBody"/>
    <w:next w:val="TableContents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Footnote">
    <w:name w:val="Footnote"/>
    <w:basedOn w:val="Normal"/>
    <w:next w:val="Footnote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Endnote">
    <w:name w:val="Endnote"/>
    <w:basedOn w:val="Normal"/>
    <w:next w:val="Endnote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Noto Sans Devanagari" w:eastAsia="AR PL SungtiL GB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b+nHhUUceZbpUskF84JWTkizQ==">CgMxLjA4AHIhMWZCV0VrSFhqOTFEM2RxdzFaMTNLcXRlNV9LMXBmZFJW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