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2735 S 99th Avenue Suite G-103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7368" cy="954053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368" cy="9540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Tolleson, Arizona 85353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Phone:623 936-7387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Fax:623 936-6295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www.tollesonanimalclinic.com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3600" w:right="0" w:firstLine="0"/>
        <w:jc w:val="left"/>
        <w:rPr>
          <w:rFonts w:ascii="Verdana" w:cs="Verdana" w:eastAsia="Verdana" w:hAnsi="Verdana"/>
          <w:b w:val="1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Folleto de información sobre el cupón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color w:val="98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980000"/>
          <w:sz w:val="22"/>
          <w:szCs w:val="22"/>
          <w:rtl w:val="0"/>
        </w:rPr>
        <w:t xml:space="preserve">Nos asociamos con Fix.Adopt.Save para ofrecer esterilizaciones y castraciones a un costo menor. El bono rosa cubre el coste de la cirugía; sin embargo, no cubre los gastos adicionales que requerimos como analgésicos. Necesitaremos un examen prequirúrgico (esto no tiene costo; sin embargo, le pedimos que deje un depósito para programar la cirugía) antes de programar la cirugía para su mascota. Esto es para que el médico pueda examinar a su mascota y resolver cualquier duda.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color w:val="351c75"/>
          <w:sz w:val="20"/>
          <w:szCs w:val="2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51c75"/>
          <w:sz w:val="20"/>
          <w:szCs w:val="20"/>
          <w:rtl w:val="0"/>
        </w:rPr>
        <w:t xml:space="preserve">Gastos requeridos: </w:t>
      </w:r>
      <w:r w:rsidDel="00000000" w:rsidR="00000000" w:rsidRPr="00000000">
        <w:rPr>
          <w:rFonts w:ascii="Montserrat" w:cs="Montserrat" w:eastAsia="Montserrat" w:hAnsi="Montserrat"/>
          <w:color w:val="351c75"/>
          <w:sz w:val="20"/>
          <w:szCs w:val="20"/>
          <w:rtl w:val="0"/>
        </w:rPr>
        <w:t xml:space="preserve">deben pagarse a Tolleson Animal Clinic en el momento en que se realiza el procedimiento.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-70.0" w:type="dxa"/>
        <w:tblLayout w:type="fixed"/>
        <w:tblLook w:val="0000"/>
      </w:tblPr>
      <w:tblGrid>
        <w:gridCol w:w="1875"/>
        <w:gridCol w:w="9510"/>
        <w:tblGridChange w:id="0">
          <w:tblGrid>
            <w:gridCol w:w="1875"/>
            <w:gridCol w:w="9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Artículo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Incluido con el cupón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u w:val="single"/>
                <w:rtl w:val="0"/>
              </w:rPr>
              <w:t xml:space="preserve">Vacunación contra la rabia</w:t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(Si su mascota no tiene la vacuna antirrábica vigente, se le requerirá una antes del procedimiento). El vale rosa cubre el costo de una vacuna contra la rabia y UNA vacuna contra el moquillo/parvo. Su mascota necesitará un refuerzo de la vacuna Moquillo/Parvo 3-4 semanas después de la primera si nunca antes ha recibido la vacuna por un costo adicional.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$90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u w:val="single"/>
                <w:rtl w:val="0"/>
              </w:rPr>
              <w:t xml:space="preserve">Análisis de sangre preoperatorio</w:t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(OBLIGATORIO para todas las mascotas mayores de 3 años; opcional para todas las demás mascotas)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$100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u w:val="single"/>
                <w:rtl w:val="0"/>
              </w:rPr>
              <w:t xml:space="preserve">Procedimiento de esterilización y castración</w:t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La esterilización se realiza mientras su mascota está bajo anestesia. Durante el procedimiento, su mascota recibirá líquidos a través de un catéter intravenoso y un técnico capacitado controlará los signos vitales.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Nota: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Las mascotas deben ayunar durante la noche antes del procedimiento de esterilización.</w:t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0"/>
                <w:szCs w:val="20"/>
                <w:rtl w:val="0"/>
              </w:rPr>
              <w:t xml:space="preserve">*Se incluyen analgésicos y un collar electrónico. Se administra una dosis de analgésico en el momento del procedimiento y dosis adicionales se envían a casa con el propietario. Se recomienda un collar electrónico, más conocido como cono de la vergüenza, para evitar que su mascota lama su incisión, causando una infección y/o abriendo el sitio de la cirugía.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$100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u w:val="single"/>
                <w:rtl w:val="0"/>
              </w:rPr>
              <w:t xml:space="preserve">Depósito</w:t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Este depósito se utiliza para reservar el espacio para la cirugía de su mascota y se aplicará al costo del procedimiento.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0"/>
                <w:szCs w:val="20"/>
                <w:rtl w:val="0"/>
              </w:rPr>
              <w:t xml:space="preserve">*Si necesita cancelar o posponer su procedimiento, infórmenos con 48 horas de anticipación, de lo contrario perderá su depósito e incurrirá en un depósito adicional de $100 para reprogramar.</w:t>
            </w:r>
          </w:p>
        </w:tc>
      </w:tr>
    </w:tbl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color w:val="351c75"/>
          <w:sz w:val="20"/>
          <w:szCs w:val="2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51c75"/>
          <w:sz w:val="20"/>
          <w:szCs w:val="20"/>
          <w:rtl w:val="0"/>
        </w:rPr>
        <w:t xml:space="preserve">Cargos adicionales: </w:t>
      </w:r>
      <w:r w:rsidDel="00000000" w:rsidR="00000000" w:rsidRPr="00000000">
        <w:rPr>
          <w:rFonts w:ascii="Montserrat" w:cs="Montserrat" w:eastAsia="Montserrat" w:hAnsi="Montserrat"/>
          <w:color w:val="351c75"/>
          <w:sz w:val="20"/>
          <w:szCs w:val="20"/>
          <w:rtl w:val="0"/>
        </w:rPr>
        <w:t xml:space="preserve">dependiendo de que su mascota cumpla con criterios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70.0" w:type="dxa"/>
        <w:jc w:val="left"/>
        <w:tblInd w:w="-55.0" w:type="dxa"/>
        <w:tblLayout w:type="fixed"/>
        <w:tblLook w:val="0000"/>
      </w:tblPr>
      <w:tblGrid>
        <w:gridCol w:w="1350"/>
        <w:gridCol w:w="10020"/>
        <w:tblGridChange w:id="0">
          <w:tblGrid>
            <w:gridCol w:w="1350"/>
            <w:gridCol w:w="10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$150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u w:val="single"/>
                <w:rtl w:val="0"/>
              </w:rPr>
              <w:t xml:space="preserve">En celo/Embarazo/Sobrepeso.</w:t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Una esterilización complicada requiere más tiempo para completar el procedimiento para ayudar a minimizar las complicaciones después de la cirugía. Si la cirugía de su mascota necesitará tiempo quirúrgico y de anestesia adicional, se le cobrará.</w:t>
            </w:r>
          </w:p>
        </w:tc>
      </w:tr>
    </w:tbl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color w:val="351c75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51c75"/>
          <w:sz w:val="20"/>
          <w:szCs w:val="20"/>
          <w:rtl w:val="0"/>
        </w:rPr>
        <w:t xml:space="preserve">Servicios opcionales: </w:t>
      </w:r>
      <w:r w:rsidDel="00000000" w:rsidR="00000000" w:rsidRPr="00000000">
        <w:rPr>
          <w:rFonts w:ascii="Montserrat" w:cs="Montserrat" w:eastAsia="Montserrat" w:hAnsi="Montserrat"/>
          <w:color w:val="351c75"/>
          <w:sz w:val="20"/>
          <w:szCs w:val="20"/>
          <w:rtl w:val="0"/>
        </w:rPr>
        <w:t xml:space="preserve">elementos que puede elegir realizar mientras su mascota está bajo anestesia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70.0" w:type="dxa"/>
        <w:jc w:val="left"/>
        <w:tblInd w:w="-55.0" w:type="dxa"/>
        <w:tblLayout w:type="fixed"/>
        <w:tblLook w:val="0000"/>
      </w:tblPr>
      <w:tblGrid>
        <w:gridCol w:w="945"/>
        <w:gridCol w:w="10425"/>
        <w:tblGridChange w:id="0">
          <w:tblGrid>
            <w:gridCol w:w="945"/>
            <w:gridCol w:w="10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$35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u w:val="single"/>
                <w:rtl w:val="0"/>
              </w:rPr>
              <w:t xml:space="preserve">Phovia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Phovia es una terapia de luz LED que ayuda a reducir el tiempo de curación hasta en un 50%.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$1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u w:val="single"/>
                <w:rtl w:val="0"/>
              </w:rPr>
              <w:t xml:space="preserve">Recorte de uñas</w:t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Podemos cortar más de cerca las uñas de su mascota mientras está bajo anestesia para evitar molestias a su mascota.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u w:val="single"/>
                <w:rtl w:val="0"/>
              </w:rPr>
              <w:t xml:space="preserve">Microchip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Si alguna vez pierde a su mascota, un microchip puede ayudarlo a reunirse con ella. Esta tarifa incluye la inserción del microchip y el registro vitalicio.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Footnote_Symbol">
    <w:name w:val="Footnote_Symbol"/>
    <w:next w:val="Footnote_Symbo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_Symbol">
    <w:name w:val="Endnote_Symbol"/>
    <w:next w:val="Endnote_Symbo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_anchor">
    <w:name w:val="Footnote_anchor"/>
    <w:next w:val="Footnote_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_anchor">
    <w:name w:val="Endnote_anchor"/>
    <w:next w:val="Endnote_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Anchor">
    <w:name w:val="Endnote Anchor"/>
    <w:next w:val="End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Noto Sans Devanagari" w:eastAsia="AR PL SungtiL GB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TextBody"/>
    <w:next w:val="TableContents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Footnote">
    <w:name w:val="Footnote"/>
    <w:basedOn w:val="Normal"/>
    <w:next w:val="Footnote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Endnote">
    <w:name w:val="Endnote"/>
    <w:basedOn w:val="Normal"/>
    <w:next w:val="Endnote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Noto Sans Devanagari" w:eastAsia="AR PL SungtiL GB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fiugNgE1Liutk8z+k8DaS97WQ==">CgMxLjA4AHIhMUJsVXczemNqSXdXeFZzX21UUXFWUWF2RDFEUDU5VmZw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