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404256</wp:posOffset>
                </wp:positionH>
                <wp:positionV relativeFrom="page">
                  <wp:posOffset>315118</wp:posOffset>
                </wp:positionV>
                <wp:extent cx="6764973" cy="189670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5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4973" cy="1896706"/>
                        </a:xfrm>
                        <a:prstGeom prst="rect">
                          <a:avLst/>
                        </a:prstGeom>
                        <a:blipFill rotWithShape="1">
                          <a:blip r:embed="rId4"/>
                          <a:srcRect l="0" t="0" r="0" b="0"/>
                          <a:tile tx="0" ty="0" sx="100000" sy="100000" flip="none" algn="tl"/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31.8pt;margin-top:24.8pt;width:532.7pt;height:149.3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4" o:title="science_fair_2x.png" rotate="t" type="til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rect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736600</wp:posOffset>
                </wp:positionH>
                <wp:positionV relativeFrom="page">
                  <wp:posOffset>655260</wp:posOffset>
                </wp:positionV>
                <wp:extent cx="6723698" cy="1478955"/>
                <wp:effectExtent l="0" t="0" r="0" b="0"/>
                <wp:wrapNone/>
                <wp:docPr id="1073741826" name="officeArt object" descr="$1,500 Scholarship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3698" cy="147895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  <w:bidi w:val="0"/>
                              <w:rPr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sz w:val="60"/>
                                <w:szCs w:val="60"/>
                                <w:rtl w:val="0"/>
                                <w:lang w:val="en-US"/>
                              </w:rPr>
                              <w:t>$1,500 Scholarship</w:t>
                            </w:r>
                          </w:p>
                          <w:p>
                            <w:pPr>
                              <w:pStyle w:val="Title"/>
                              <w:bidi w:val="0"/>
                              <w:rPr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60"/>
                                <w:szCs w:val="60"/>
                                <w:rtl w:val="0"/>
                                <w:lang w:val="en-US"/>
                              </w:rPr>
                              <w:t>Katherine M. McKenna</w:t>
                            </w:r>
                            <w:r>
                              <w:rPr>
                                <w:sz w:val="42"/>
                                <w:szCs w:val="42"/>
                              </w:rPr>
                            </w:r>
                          </w:p>
                          <w:p>
                            <w:pPr>
                              <w:pStyle w:val="Title"/>
                              <w:rPr>
                                <w:b w:val="0"/>
                                <w:bCs w:val="0"/>
                                <w:outline w:val="0"/>
                                <w:color w:val="000000"/>
                                <w:sz w:val="60"/>
                                <w:szCs w:val="6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outline w:val="0"/>
                                <w:color w:val="000000"/>
                                <w:sz w:val="40"/>
                                <w:szCs w:val="40"/>
                                <w:rtl w:val="0"/>
                                <w:lang w:val="en-US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www.westmorelandgardencouncil.org</w:t>
                            </w:r>
                            <w:r>
                              <w:rPr>
                                <w:b w:val="0"/>
                                <w:bCs w:val="0"/>
                                <w:outline w:val="0"/>
                                <w:color w:val="000000"/>
                                <w:sz w:val="60"/>
                                <w:szCs w:val="6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Title"/>
                              <w:bidi w:val="0"/>
                              <w:rPr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sz w:val="60"/>
                                <w:szCs w:val="60"/>
                                <w:rtl w:val="0"/>
                                <w:lang w:val="en-US"/>
                              </w:rPr>
                              <w:t>Kathe</w:t>
                            </w:r>
                          </w:p>
                          <w:p>
                            <w:pPr>
                              <w:pStyle w:val="Title"/>
                              <w:bidi w:val="0"/>
                            </w:pPr>
                            <w:r/>
                          </w:p>
                          <w:p>
                            <w:pPr>
                              <w:pStyle w:val="Subtitle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Lorem ipsum dolor sit amet, consectetur enim elit.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58.0pt;margin-top:51.6pt;width:529.4pt;height:116.5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  <w:bidi w:val="0"/>
                        <w:rPr>
                          <w:sz w:val="60"/>
                          <w:szCs w:val="60"/>
                        </w:rPr>
                      </w:pPr>
                      <w:r>
                        <w:rPr>
                          <w:rtl w:val="0"/>
                        </w:rPr>
                        <w:t xml:space="preserve"> </w:t>
                      </w:r>
                      <w:r>
                        <w:rPr>
                          <w:sz w:val="60"/>
                          <w:szCs w:val="60"/>
                          <w:rtl w:val="0"/>
                          <w:lang w:val="en-US"/>
                        </w:rPr>
                        <w:t>$1,500 Scholarship</w:t>
                      </w:r>
                    </w:p>
                    <w:p>
                      <w:pPr>
                        <w:pStyle w:val="Title"/>
                        <w:bidi w:val="0"/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60"/>
                          <w:szCs w:val="60"/>
                          <w:rtl w:val="0"/>
                          <w:lang w:val="en-US"/>
                        </w:rPr>
                        <w:t>Katherine M. McKenna</w:t>
                      </w:r>
                      <w:r>
                        <w:rPr>
                          <w:sz w:val="42"/>
                          <w:szCs w:val="42"/>
                        </w:rPr>
                      </w:r>
                    </w:p>
                    <w:p>
                      <w:pPr>
                        <w:pStyle w:val="Title"/>
                        <w:rPr>
                          <w:b w:val="0"/>
                          <w:bCs w:val="0"/>
                          <w:outline w:val="0"/>
                          <w:color w:val="000000"/>
                          <w:sz w:val="60"/>
                          <w:szCs w:val="6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b w:val="0"/>
                          <w:bCs w:val="0"/>
                          <w:outline w:val="0"/>
                          <w:color w:val="000000"/>
                          <w:sz w:val="40"/>
                          <w:szCs w:val="40"/>
                          <w:rtl w:val="0"/>
                          <w:lang w:val="en-US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www.westmorelandgardencouncil.org</w:t>
                      </w:r>
                      <w:r>
                        <w:rPr>
                          <w:b w:val="0"/>
                          <w:bCs w:val="0"/>
                          <w:outline w:val="0"/>
                          <w:color w:val="000000"/>
                          <w:sz w:val="60"/>
                          <w:szCs w:val="6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Title"/>
                        <w:bidi w:val="0"/>
                        <w:rPr>
                          <w:sz w:val="60"/>
                          <w:szCs w:val="60"/>
                        </w:rPr>
                      </w:pPr>
                      <w:r>
                        <w:rPr>
                          <w:sz w:val="60"/>
                          <w:szCs w:val="60"/>
                          <w:rtl w:val="0"/>
                          <w:lang w:val="en-US"/>
                        </w:rPr>
                        <w:t>Kathe</w:t>
                      </w:r>
                    </w:p>
                    <w:p>
                      <w:pPr>
                        <w:pStyle w:val="Title"/>
                        <w:bidi w:val="0"/>
                      </w:pPr>
                      <w:r/>
                    </w:p>
                    <w:p>
                      <w:pPr>
                        <w:pStyle w:val="Subtitle"/>
                        <w:bidi w:val="0"/>
                      </w:pPr>
                      <w:r>
                        <w:rPr>
                          <w:rtl w:val="0"/>
                        </w:rPr>
                        <w:t>Lorem ipsum dolor sit amet, consectetur enim elit.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459461</wp:posOffset>
                </wp:positionH>
                <wp:positionV relativeFrom="page">
                  <wp:posOffset>5165987</wp:posOffset>
                </wp:positionV>
                <wp:extent cx="5481276" cy="3508613"/>
                <wp:effectExtent l="0" t="0" r="0" b="0"/>
                <wp:wrapNone/>
                <wp:docPr id="1073741827" name="officeArt object" descr="WHO CAN APPLY?  Applicant must reside in Westmoreland County or its bordering counties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1276" cy="3508613"/>
                        </a:xfrm>
                        <a:prstGeom prst="rect">
                          <a:avLst/>
                        </a:prstGeom>
                        <a:noFill/>
                        <a:ln w="6350" cap="flat">
                          <a:solidFill>
                            <a:srgbClr val="89847F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hape Caption"/>
                              <w:jc w:val="lef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rtl w:val="0"/>
                                <w:lang w:val="en-US"/>
                              </w:rPr>
                              <w:t>WHO CAN APPLY?  Applicant must reside in Westmoreland County or its bordering counties</w:t>
                            </w:r>
                          </w:p>
                          <w:p>
                            <w:pPr>
                              <w:pStyle w:val="Shape Caption"/>
                              <w:jc w:val="lef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  <w:p>
                            <w:pPr>
                              <w:pStyle w:val="Shape Caption"/>
                              <w:jc w:val="lef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rtl w:val="0"/>
                                <w:lang w:val="en-US"/>
                              </w:rPr>
                              <w:t>Open to students pursuing a 2,4, or graduate degree in botany, horticulture, landscaping, forestry, environmental science or related fields.</w:t>
                            </w:r>
                          </w:p>
                          <w:p>
                            <w:pPr>
                              <w:pStyle w:val="Shape Caption"/>
                              <w:jc w:val="lef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  <w:p>
                            <w:pPr>
                              <w:pStyle w:val="Shape Caption"/>
                              <w:jc w:val="lef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rtl w:val="0"/>
                                <w:lang w:val="en-US"/>
                              </w:rPr>
                              <w:t>Candidates must have completed at least one year of studies in an accredited college or university by the application deadline.</w:t>
                            </w:r>
                          </w:p>
                          <w:p>
                            <w:pPr>
                              <w:pStyle w:val="Shape Caption"/>
                              <w:jc w:val="lef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  <w:p>
                            <w:pPr>
                              <w:pStyle w:val="Shape Caption"/>
                              <w:jc w:val="lef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rtl w:val="0"/>
                                <w:lang w:val="en-US"/>
                              </w:rPr>
                              <w:t>For more info please call (724) 837-0245</w:t>
                            </w:r>
                          </w:p>
                          <w:p>
                            <w:pPr>
                              <w:pStyle w:val="Shape Caption"/>
                              <w:jc w:val="lef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rtl w:val="0"/>
                                <w:lang w:val="en-US"/>
                              </w:rPr>
                              <w:t>or visit our new website to find an application:</w:t>
                            </w:r>
                          </w:p>
                          <w:p>
                            <w:pPr>
                              <w:pStyle w:val="Shape Caption"/>
                              <w:jc w:val="left"/>
                              <w:rPr>
                                <w:rFonts w:ascii="Avenir Next Regular" w:cs="Avenir Next Regular" w:hAnsi="Avenir Next Regular" w:eastAsia="Avenir Next Regular"/>
                                <w:b w:val="1"/>
                                <w:bCs w:val="1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Avenir Next Regular" w:hAnsi="Avenir Next Regular"/>
                                <w:b w:val="1"/>
                                <w:bCs w:val="1"/>
                                <w:sz w:val="38"/>
                                <w:szCs w:val="38"/>
                                <w:rtl w:val="0"/>
                                <w:lang w:val="en-US"/>
                              </w:rPr>
                              <w:t>www.westmorelandgardencouncil.org</w:t>
                            </w:r>
                          </w:p>
                          <w:p>
                            <w:pPr>
                              <w:pStyle w:val="Shape Caption"/>
                              <w:jc w:val="lef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</w:r>
                          </w:p>
                          <w:p>
                            <w:pPr>
                              <w:pStyle w:val="Shape Caption"/>
                              <w:jc w:val="left"/>
                            </w:pPr>
                            <w:r>
                              <w:rPr>
                                <w:sz w:val="34"/>
                                <w:szCs w:val="34"/>
                                <w:rtl w:val="0"/>
                                <w:lang w:val="en-US"/>
                              </w:rPr>
                              <w:t>www.westmorelandgardencouncil.org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visibility:visible;position:absolute;margin-left:36.2pt;margin-top:406.8pt;width:431.6pt;height:276.3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89847F" opacity="100.0%" weight="0.5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hape Caption"/>
                        <w:jc w:val="lef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  <w:rtl w:val="0"/>
                          <w:lang w:val="en-US"/>
                        </w:rPr>
                        <w:t>WHO CAN APPLY?  Applicant must reside in Westmoreland County or its bordering counties</w:t>
                      </w:r>
                    </w:p>
                    <w:p>
                      <w:pPr>
                        <w:pStyle w:val="Shape Caption"/>
                        <w:jc w:val="lef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</w:r>
                    </w:p>
                    <w:p>
                      <w:pPr>
                        <w:pStyle w:val="Shape Caption"/>
                        <w:jc w:val="lef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  <w:rtl w:val="0"/>
                          <w:lang w:val="en-US"/>
                        </w:rPr>
                        <w:t>Open to students pursuing a 2,4, or graduate degree in botany, horticulture, landscaping, forestry, environmental science or related fields.</w:t>
                      </w:r>
                    </w:p>
                    <w:p>
                      <w:pPr>
                        <w:pStyle w:val="Shape Caption"/>
                        <w:jc w:val="lef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</w:r>
                    </w:p>
                    <w:p>
                      <w:pPr>
                        <w:pStyle w:val="Shape Caption"/>
                        <w:jc w:val="lef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  <w:rtl w:val="0"/>
                          <w:lang w:val="en-US"/>
                        </w:rPr>
                        <w:t>Candidates must have completed at least one year of studies in an accredited college or university by the application deadline.</w:t>
                      </w:r>
                    </w:p>
                    <w:p>
                      <w:pPr>
                        <w:pStyle w:val="Shape Caption"/>
                        <w:jc w:val="lef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</w:r>
                    </w:p>
                    <w:p>
                      <w:pPr>
                        <w:pStyle w:val="Shape Caption"/>
                        <w:jc w:val="lef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  <w:rtl w:val="0"/>
                          <w:lang w:val="en-US"/>
                        </w:rPr>
                        <w:t>For more info please call (724) 837-0245</w:t>
                      </w:r>
                    </w:p>
                    <w:p>
                      <w:pPr>
                        <w:pStyle w:val="Shape Caption"/>
                        <w:jc w:val="lef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  <w:rtl w:val="0"/>
                          <w:lang w:val="en-US"/>
                        </w:rPr>
                        <w:t>or visit our new website to find an application:</w:t>
                      </w:r>
                    </w:p>
                    <w:p>
                      <w:pPr>
                        <w:pStyle w:val="Shape Caption"/>
                        <w:jc w:val="left"/>
                        <w:rPr>
                          <w:rFonts w:ascii="Avenir Next Regular" w:cs="Avenir Next Regular" w:hAnsi="Avenir Next Regular" w:eastAsia="Avenir Next Regular"/>
                          <w:b w:val="1"/>
                          <w:bCs w:val="1"/>
                          <w:sz w:val="38"/>
                          <w:szCs w:val="38"/>
                        </w:rPr>
                      </w:pPr>
                      <w:r>
                        <w:rPr>
                          <w:rFonts w:ascii="Avenir Next Regular" w:hAnsi="Avenir Next Regular"/>
                          <w:b w:val="1"/>
                          <w:bCs w:val="1"/>
                          <w:sz w:val="38"/>
                          <w:szCs w:val="38"/>
                          <w:rtl w:val="0"/>
                          <w:lang w:val="en-US"/>
                        </w:rPr>
                        <w:t>www.westmorelandgardencouncil.org</w:t>
                      </w:r>
                    </w:p>
                    <w:p>
                      <w:pPr>
                        <w:pStyle w:val="Shape Caption"/>
                        <w:jc w:val="lef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</w:r>
                    </w:p>
                    <w:p>
                      <w:pPr>
                        <w:pStyle w:val="Shape Caption"/>
                        <w:jc w:val="left"/>
                      </w:pPr>
                      <w:r>
                        <w:rPr>
                          <w:sz w:val="34"/>
                          <w:szCs w:val="34"/>
                          <w:rtl w:val="0"/>
                          <w:lang w:val="en-US"/>
                        </w:rPr>
                        <w:t>www.westmorelandgardencouncil.org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528667</wp:posOffset>
            </wp:positionH>
            <wp:positionV relativeFrom="page">
              <wp:posOffset>2387877</wp:posOffset>
            </wp:positionV>
            <wp:extent cx="3357533" cy="2518150"/>
            <wp:effectExtent l="0" t="0" r="0" b="0"/>
            <wp:wrapNone/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7533" cy="25181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4098448</wp:posOffset>
                </wp:positionH>
                <wp:positionV relativeFrom="page">
                  <wp:posOffset>2298700</wp:posOffset>
                </wp:positionV>
                <wp:extent cx="1667352" cy="2864113"/>
                <wp:effectExtent l="0" t="0" r="0" b="0"/>
                <wp:wrapNone/>
                <wp:docPr id="1073741829" name="officeArt object" descr="Greensburg Garden Center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7352" cy="28641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rtl w:val="0"/>
                                <w:lang w:val="en-US"/>
                              </w:rPr>
                              <w:t xml:space="preserve">Greensburg Garden Center </w:t>
                            </w:r>
                          </w:p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sz w:val="36"/>
                                <w:szCs w:val="36"/>
                                <w:rtl w:val="0"/>
                                <w:lang w:val="en-US"/>
                              </w:rPr>
                              <w:t>Is offering a $1,500 scholarship for 2025 Fall Term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322.7pt;margin-top:181.0pt;width:131.3pt;height:225.5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 xml:space="preserve">Greensburg Garden Center </w:t>
                      </w:r>
                    </w:p>
                    <w:p>
                      <w:pPr>
                        <w:pStyle w:val="Body"/>
                        <w:jc w:val="center"/>
                      </w:pPr>
                      <w:r>
                        <w:rPr>
                          <w:sz w:val="36"/>
                          <w:szCs w:val="36"/>
                          <w:rtl w:val="0"/>
                          <w:lang w:val="en-US"/>
                        </w:rPr>
                        <w:t>Is offering a $1,500 scholarship for 2025 Fall Term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5947087</wp:posOffset>
                </wp:positionH>
                <wp:positionV relativeFrom="page">
                  <wp:posOffset>2481183</wp:posOffset>
                </wp:positionV>
                <wp:extent cx="1386409" cy="6529348"/>
                <wp:effectExtent l="0" t="0" r="0" b="0"/>
                <wp:wrapNone/>
                <wp:docPr id="1073741830" name="officeArt object" descr="Award of the Scholarship is based on relevant field of study, academic achievement, community service, and financial need.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6409" cy="6529348"/>
                        </a:xfrm>
                        <a:prstGeom prst="rect">
                          <a:avLst/>
                        </a:prstGeom>
                        <a:noFill/>
                        <a:ln w="6350" cap="flat">
                          <a:solidFill>
                            <a:srgbClr val="89847F"/>
                          </a:solidFill>
                          <a:prstDash val="solid"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  <w:rPr>
                                <w:rFonts w:ascii="Avenir Next Regular" w:cs="Avenir Next Regular" w:hAnsi="Avenir Next Regular" w:eastAsia="Avenir Next Regular"/>
                                <w:b w:val="1"/>
                                <w:bCs w:val="1"/>
                              </w:rPr>
                            </w:pPr>
                            <w:r>
                              <w:rPr>
                                <w:rFonts w:ascii="Avenir Next Regular" w:hAnsi="Avenir Next Regular"/>
                                <w:b w:val="1"/>
                                <w:bCs w:val="1"/>
                                <w:rtl w:val="0"/>
                                <w:lang w:val="en-US"/>
                              </w:rPr>
                              <w:t xml:space="preserve">Award of the Scholarship is based on relevant field of study, academic </w:t>
                            </w:r>
                            <w:r>
                              <w:rPr>
                                <w:rFonts w:ascii="Avenir Next Regular" w:hAnsi="Avenir Next Regular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en-US"/>
                              </w:rPr>
                              <w:t xml:space="preserve">achievement, </w:t>
                            </w:r>
                            <w:r>
                              <w:rPr>
                                <w:rFonts w:ascii="Avenir Next Regular" w:hAnsi="Avenir Next Regular"/>
                                <w:b w:val="1"/>
                                <w:bCs w:val="1"/>
                                <w:rtl w:val="0"/>
                                <w:lang w:val="en-US"/>
                              </w:rPr>
                              <w:t xml:space="preserve">community service, and </w:t>
                            </w:r>
                            <w:r>
                              <w:rPr>
                                <w:rFonts w:ascii="Avenir Next Regular" w:hAnsi="Avenir Next Regular"/>
                                <w:b w:val="1"/>
                                <w:bCs w:val="1"/>
                                <w:sz w:val="26"/>
                                <w:szCs w:val="26"/>
                                <w:rtl w:val="0"/>
                                <w:lang w:val="en-US"/>
                              </w:rPr>
                              <w:t xml:space="preserve">financial </w:t>
                            </w:r>
                            <w:r>
                              <w:rPr>
                                <w:rFonts w:ascii="Avenir Next Regular" w:hAnsi="Avenir Next Regular"/>
                                <w:b w:val="1"/>
                                <w:bCs w:val="1"/>
                                <w:rtl w:val="0"/>
                                <w:lang w:val="en-US"/>
                              </w:rPr>
                              <w:t>need.</w:t>
                            </w:r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  <w:rPr>
                                <w:rFonts w:ascii="Avenir Next Regular" w:cs="Avenir Next Regular" w:hAnsi="Avenir Next Regular" w:eastAsia="Avenir Next Regular"/>
                                <w:b w:val="1"/>
                                <w:bCs w:val="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 Next Regular" w:cs="Avenir Next Regular" w:hAnsi="Avenir Next Regular" w:eastAsia="Avenir Next Regular"/>
                                <w:b w:val="1"/>
                                <w:bCs w:val="1"/>
                                <w:sz w:val="26"/>
                                <w:szCs w:val="26"/>
                              </w:rPr>
                            </w:r>
                          </w:p>
                          <w:p>
                            <w:pPr>
                              <w:pStyle w:val="Shape Caption"/>
                              <w:rPr>
                                <w:rFonts w:ascii="Avenir Next Regular" w:cs="Avenir Next Regular" w:hAnsi="Avenir Next Regular" w:eastAsia="Avenir Next Regular"/>
                                <w:b w:val="1"/>
                                <w:bCs w:val="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 Next Regular" w:cs="Avenir Next Regular" w:hAnsi="Avenir Next Regular" w:eastAsia="Avenir Next Regular"/>
                                <w:b w:val="1"/>
                                <w:bCs w:val="1"/>
                                <w:sz w:val="26"/>
                                <w:szCs w:val="26"/>
                              </w:rPr>
                            </w:r>
                          </w:p>
                          <w:p>
                            <w:pPr>
                              <w:pStyle w:val="Shape Caption"/>
                              <w:rPr>
                                <w:rFonts w:ascii="Avenir Next Regular" w:cs="Avenir Next Regular" w:hAnsi="Avenir Next Regular" w:eastAsia="Avenir Next Regular"/>
                                <w:b w:val="1"/>
                                <w:bCs w:val="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 Next Regular" w:hAnsi="Avenir Next Regular"/>
                                <w:b w:val="1"/>
                                <w:bCs w:val="1"/>
                                <w:sz w:val="26"/>
                                <w:szCs w:val="26"/>
                                <w:rtl w:val="0"/>
                                <w:lang w:val="en-US"/>
                              </w:rPr>
                              <w:t>Application Deadline</w:t>
                            </w:r>
                          </w:p>
                          <w:p>
                            <w:pPr>
                              <w:pStyle w:val="Shape Caption"/>
                              <w:rPr>
                                <w:rFonts w:ascii="Avenir Next Regular" w:cs="Avenir Next Regular" w:hAnsi="Avenir Next Regular" w:eastAsia="Avenir Next Regular"/>
                                <w:b w:val="1"/>
                                <w:bCs w:val="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 Next Regular" w:cs="Avenir Next Regular" w:hAnsi="Avenir Next Regular" w:eastAsia="Avenir Next Regular"/>
                                <w:b w:val="1"/>
                                <w:bCs w:val="1"/>
                                <w:sz w:val="26"/>
                                <w:szCs w:val="26"/>
                              </w:rPr>
                            </w:r>
                          </w:p>
                          <w:p>
                            <w:pPr>
                              <w:pStyle w:val="Shape Caption"/>
                              <w:rPr>
                                <w:rFonts w:ascii="Avenir Next Regular" w:cs="Avenir Next Regular" w:hAnsi="Avenir Next Regular" w:eastAsia="Avenir Next Regular"/>
                                <w:b w:val="1"/>
                                <w:bCs w:val="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 Next Regular" w:hAnsi="Avenir Next Regular"/>
                                <w:b w:val="1"/>
                                <w:bCs w:val="1"/>
                                <w:sz w:val="26"/>
                                <w:szCs w:val="26"/>
                                <w:rtl w:val="0"/>
                                <w:lang w:val="en-US"/>
                              </w:rPr>
                              <w:t>May 31, 2025</w:t>
                            </w:r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  <w:p>
                            <w:pPr>
                              <w:pStyle w:val="Shape Caption"/>
                            </w:pPr>
                            <w:r/>
                          </w:p>
                        </w:txbxContent>
                      </wps:txbx>
                      <wps:bodyPr wrap="square" lIns="190500" tIns="190500" rIns="190500" bIns="1905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68.3pt;margin-top:195.4pt;width:109.2pt;height:514.1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89847F" opacity="100.0%" weight="0.5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  <w:rPr>
                          <w:rFonts w:ascii="Avenir Next Regular" w:cs="Avenir Next Regular" w:hAnsi="Avenir Next Regular" w:eastAsia="Avenir Next Regular"/>
                          <w:b w:val="1"/>
                          <w:bCs w:val="1"/>
                        </w:rPr>
                      </w:pPr>
                      <w:r>
                        <w:rPr>
                          <w:rFonts w:ascii="Avenir Next Regular" w:hAnsi="Avenir Next Regular"/>
                          <w:b w:val="1"/>
                          <w:bCs w:val="1"/>
                          <w:rtl w:val="0"/>
                          <w:lang w:val="en-US"/>
                        </w:rPr>
                        <w:t xml:space="preserve">Award of the Scholarship is based on relevant field of study, academic </w:t>
                      </w:r>
                      <w:r>
                        <w:rPr>
                          <w:rFonts w:ascii="Avenir Next Regular" w:hAnsi="Avenir Next Regular"/>
                          <w:b w:val="1"/>
                          <w:bCs w:val="1"/>
                          <w:sz w:val="22"/>
                          <w:szCs w:val="22"/>
                          <w:rtl w:val="0"/>
                          <w:lang w:val="en-US"/>
                        </w:rPr>
                        <w:t xml:space="preserve">achievement, </w:t>
                      </w:r>
                      <w:r>
                        <w:rPr>
                          <w:rFonts w:ascii="Avenir Next Regular" w:hAnsi="Avenir Next Regular"/>
                          <w:b w:val="1"/>
                          <w:bCs w:val="1"/>
                          <w:rtl w:val="0"/>
                          <w:lang w:val="en-US"/>
                        </w:rPr>
                        <w:t xml:space="preserve">community service, and </w:t>
                      </w:r>
                      <w:r>
                        <w:rPr>
                          <w:rFonts w:ascii="Avenir Next Regular" w:hAnsi="Avenir Next Regular"/>
                          <w:b w:val="1"/>
                          <w:bCs w:val="1"/>
                          <w:sz w:val="26"/>
                          <w:szCs w:val="26"/>
                          <w:rtl w:val="0"/>
                          <w:lang w:val="en-US"/>
                        </w:rPr>
                        <w:t xml:space="preserve">financial </w:t>
                      </w:r>
                      <w:r>
                        <w:rPr>
                          <w:rFonts w:ascii="Avenir Next Regular" w:hAnsi="Avenir Next Regular"/>
                          <w:b w:val="1"/>
                          <w:bCs w:val="1"/>
                          <w:rtl w:val="0"/>
                          <w:lang w:val="en-US"/>
                        </w:rPr>
                        <w:t>need.</w:t>
                      </w:r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  <w:rPr>
                          <w:rFonts w:ascii="Avenir Next Regular" w:cs="Avenir Next Regular" w:hAnsi="Avenir Next Regular" w:eastAsia="Avenir Next Regular"/>
                          <w:b w:val="1"/>
                          <w:bCs w:val="1"/>
                          <w:sz w:val="26"/>
                          <w:szCs w:val="26"/>
                        </w:rPr>
                      </w:pPr>
                      <w:r>
                        <w:rPr>
                          <w:rFonts w:ascii="Avenir Next Regular" w:cs="Avenir Next Regular" w:hAnsi="Avenir Next Regular" w:eastAsia="Avenir Next Regular"/>
                          <w:b w:val="1"/>
                          <w:bCs w:val="1"/>
                          <w:sz w:val="26"/>
                          <w:szCs w:val="26"/>
                        </w:rPr>
                      </w:r>
                    </w:p>
                    <w:p>
                      <w:pPr>
                        <w:pStyle w:val="Shape Caption"/>
                        <w:rPr>
                          <w:rFonts w:ascii="Avenir Next Regular" w:cs="Avenir Next Regular" w:hAnsi="Avenir Next Regular" w:eastAsia="Avenir Next Regular"/>
                          <w:b w:val="1"/>
                          <w:bCs w:val="1"/>
                          <w:sz w:val="26"/>
                          <w:szCs w:val="26"/>
                        </w:rPr>
                      </w:pPr>
                      <w:r>
                        <w:rPr>
                          <w:rFonts w:ascii="Avenir Next Regular" w:cs="Avenir Next Regular" w:hAnsi="Avenir Next Regular" w:eastAsia="Avenir Next Regular"/>
                          <w:b w:val="1"/>
                          <w:bCs w:val="1"/>
                          <w:sz w:val="26"/>
                          <w:szCs w:val="26"/>
                        </w:rPr>
                      </w:r>
                    </w:p>
                    <w:p>
                      <w:pPr>
                        <w:pStyle w:val="Shape Caption"/>
                        <w:rPr>
                          <w:rFonts w:ascii="Avenir Next Regular" w:cs="Avenir Next Regular" w:hAnsi="Avenir Next Regular" w:eastAsia="Avenir Next Regular"/>
                          <w:b w:val="1"/>
                          <w:bCs w:val="1"/>
                          <w:sz w:val="26"/>
                          <w:szCs w:val="26"/>
                        </w:rPr>
                      </w:pPr>
                      <w:r>
                        <w:rPr>
                          <w:rFonts w:ascii="Avenir Next Regular" w:hAnsi="Avenir Next Regular"/>
                          <w:b w:val="1"/>
                          <w:bCs w:val="1"/>
                          <w:sz w:val="26"/>
                          <w:szCs w:val="26"/>
                          <w:rtl w:val="0"/>
                          <w:lang w:val="en-US"/>
                        </w:rPr>
                        <w:t>Application Deadline</w:t>
                      </w:r>
                    </w:p>
                    <w:p>
                      <w:pPr>
                        <w:pStyle w:val="Shape Caption"/>
                        <w:rPr>
                          <w:rFonts w:ascii="Avenir Next Regular" w:cs="Avenir Next Regular" w:hAnsi="Avenir Next Regular" w:eastAsia="Avenir Next Regular"/>
                          <w:b w:val="1"/>
                          <w:bCs w:val="1"/>
                          <w:sz w:val="26"/>
                          <w:szCs w:val="26"/>
                        </w:rPr>
                      </w:pPr>
                      <w:r>
                        <w:rPr>
                          <w:rFonts w:ascii="Avenir Next Regular" w:cs="Avenir Next Regular" w:hAnsi="Avenir Next Regular" w:eastAsia="Avenir Next Regular"/>
                          <w:b w:val="1"/>
                          <w:bCs w:val="1"/>
                          <w:sz w:val="26"/>
                          <w:szCs w:val="26"/>
                        </w:rPr>
                      </w:r>
                    </w:p>
                    <w:p>
                      <w:pPr>
                        <w:pStyle w:val="Shape Caption"/>
                        <w:rPr>
                          <w:rFonts w:ascii="Avenir Next Regular" w:cs="Avenir Next Regular" w:hAnsi="Avenir Next Regular" w:eastAsia="Avenir Next Regular"/>
                          <w:b w:val="1"/>
                          <w:bCs w:val="1"/>
                          <w:sz w:val="26"/>
                          <w:szCs w:val="26"/>
                        </w:rPr>
                      </w:pPr>
                      <w:r>
                        <w:rPr>
                          <w:rFonts w:ascii="Avenir Next Regular" w:hAnsi="Avenir Next Regular"/>
                          <w:b w:val="1"/>
                          <w:bCs w:val="1"/>
                          <w:sz w:val="26"/>
                          <w:szCs w:val="26"/>
                          <w:rtl w:val="0"/>
                          <w:lang w:val="en-US"/>
                        </w:rPr>
                        <w:t>May 31, 2025</w:t>
                      </w:r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  <w:p>
                      <w:pPr>
                        <w:pStyle w:val="Shape Caption"/>
                      </w:pPr>
                      <w:r/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5943912</wp:posOffset>
            </wp:positionH>
            <wp:positionV relativeFrom="page">
              <wp:posOffset>6023708</wp:posOffset>
            </wp:positionV>
            <wp:extent cx="1392759" cy="1044569"/>
            <wp:effectExtent l="0" t="0" r="0" b="0"/>
            <wp:wrapNone/>
            <wp:docPr id="107374183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" descr="Image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759" cy="10445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404256</wp:posOffset>
                </wp:positionH>
                <wp:positionV relativeFrom="page">
                  <wp:posOffset>8677775</wp:posOffset>
                </wp:positionV>
                <wp:extent cx="5309514" cy="1092176"/>
                <wp:effectExtent l="0" t="0" r="0" b="0"/>
                <wp:wrapNone/>
                <wp:docPr id="1073741832" name="officeArt object" descr="Greensburg Garden Council formerly named Greensburg Garden Center is a non-profit organization whose goal is to support and educate its members and community in horticulture, conservation and related fields and provide an annual scholarship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9514" cy="1092176"/>
                        </a:xfrm>
                        <a:prstGeom prst="rect">
                          <a:avLst/>
                        </a:prstGeom>
                        <a:solidFill>
                          <a:srgbClr val="C7EEF3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hape Caption"/>
                            </w:pPr>
                            <w:r>
                              <w:rPr>
                                <w:rFonts w:ascii="Avenir Next Regular" w:hAnsi="Avenir Next Regular"/>
                                <w:b w:val="1"/>
                                <w:bCs w:val="1"/>
                                <w:outline w:val="0"/>
                                <w:color w:val="e23e5c"/>
                                <w:rtl w:val="0"/>
                                <w:lang w:val="en-US"/>
                                <w14:textFill>
                                  <w14:solidFill>
                                    <w14:srgbClr w14:val="E23F5C"/>
                                  </w14:solidFill>
                                </w14:textFill>
                              </w:rPr>
                              <w:t>Greensburg Garden Council formerly named Greensburg Garden Center is a non-profit organization whose goal is to support and educate its members and community in horticulture, conservation and related fields and provide an annual scholarship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31.8pt;margin-top:683.3pt;width:418.1pt;height:86.0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C7EEF3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hape Caption"/>
                      </w:pPr>
                      <w:r>
                        <w:rPr>
                          <w:rFonts w:ascii="Avenir Next Regular" w:hAnsi="Avenir Next Regular"/>
                          <w:b w:val="1"/>
                          <w:bCs w:val="1"/>
                          <w:outline w:val="0"/>
                          <w:color w:val="e23e5c"/>
                          <w:rtl w:val="0"/>
                          <w:lang w:val="en-US"/>
                          <w14:textFill>
                            <w14:solidFill>
                              <w14:srgbClr w14:val="E23F5C"/>
                            </w14:solidFill>
                          </w14:textFill>
                        </w:rPr>
                        <w:t>Greensburg Garden Council formerly named Greensburg Garden Center is a non-profit organization whose goal is to support and educate its members and community in horticulture, conservation and related fields and provide an annual scholarship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</w:p>
    <w:sectPr>
      <w:headerReference w:type="default" r:id="rId7"/>
      <w:footerReference w:type="default" r:id="rId8"/>
      <w:pgSz w:w="12240" w:h="15840" w:orient="portrait"/>
      <w:pgMar w:top="800" w:right="720" w:bottom="800" w:left="720" w:header="720" w:footer="24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Avenir Next Regular">
    <w:charset w:val="00"/>
    <w:family w:val="roman"/>
    <w:pitch w:val="default"/>
  </w:font>
  <w:font w:name="DIN Condensed Bold">
    <w:charset w:val="00"/>
    <w:family w:val="roman"/>
    <w:pitch w:val="default"/>
  </w:font>
  <w:font w:name="Superclarendon Regular">
    <w:charset w:val="00"/>
    <w:family w:val="roman"/>
    <w:pitch w:val="default"/>
  </w:font>
  <w:font w:name="Charter Roman">
    <w:charset w:val="00"/>
    <w:family w:val="roman"/>
    <w:pitch w:val="default"/>
  </w:font>
  <w:font w:name="Avenir Next Medium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Default"/>
      <w:tabs>
        <w:tab w:val="center" w:pos="5400"/>
        <w:tab w:val="right" w:pos="10800"/>
      </w:tabs>
      <w:jc w:val="left"/>
    </w:pPr>
    <w:r>
      <w:rPr>
        <w:rFonts w:ascii="DIN Condensed Bold" w:hAnsi="DIN Condensed Bold"/>
        <w:outline w:val="0"/>
        <w:color w:val="f46b75"/>
        <w:sz w:val="24"/>
        <w:szCs w:val="24"/>
        <w14:textFill>
          <w14:solidFill>
            <w14:srgbClr w14:val="F46B75"/>
          </w14:solidFill>
        </w14:textFill>
      </w:rPr>
      <w:tab/>
    </w:r>
    <w:r>
      <w:rPr>
        <w:rFonts w:ascii="DIN Condensed Bold" w:hAnsi="DIN Condensed Bold"/>
        <w:outline w:val="0"/>
        <w:color w:val="f46b75"/>
        <w:sz w:val="24"/>
        <w:szCs w:val="24"/>
        <w14:textFill>
          <w14:solidFill>
            <w14:srgbClr w14:val="F46B75"/>
          </w14:solidFill>
        </w14:textFill>
      </w:rPr>
      <w:fldChar w:fldCharType="begin" w:fldLock="0"/>
    </w:r>
    <w:r>
      <w:rPr>
        <w:rFonts w:ascii="DIN Condensed Bold" w:hAnsi="DIN Condensed Bold"/>
        <w:outline w:val="0"/>
        <w:color w:val="f46b75"/>
        <w:sz w:val="24"/>
        <w:szCs w:val="24"/>
        <w14:textFill>
          <w14:solidFill>
            <w14:srgbClr w14:val="F46B75"/>
          </w14:solidFill>
        </w14:textFill>
      </w:rPr>
      <w:instrText xml:space="preserve"> PAGE </w:instrText>
    </w:r>
    <w:r>
      <w:rPr>
        <w:rFonts w:ascii="DIN Condensed Bold" w:hAnsi="DIN Condensed Bold"/>
        <w:outline w:val="0"/>
        <w:color w:val="f46b75"/>
        <w:sz w:val="24"/>
        <w:szCs w:val="24"/>
        <w14:textFill>
          <w14:solidFill>
            <w14:srgbClr w14:val="F46B75"/>
          </w14:solidFill>
        </w14:textFill>
      </w:rPr>
      <w:fldChar w:fldCharType="separate" w:fldLock="0"/>
    </w:r>
    <w:r>
      <w:rPr>
        <w:rFonts w:ascii="DIN Condensed Bold" w:hAnsi="DIN Condensed Bold"/>
        <w:outline w:val="0"/>
        <w:color w:val="f46b75"/>
        <w:sz w:val="24"/>
        <w:szCs w:val="24"/>
        <w14:textFill>
          <w14:solidFill>
            <w14:srgbClr w14:val="F46B75"/>
          </w14:solidFill>
        </w14:textFill>
      </w:rPr>
    </w:r>
    <w:r>
      <w:rPr>
        <w:rFonts w:ascii="DIN Condensed Bold" w:hAnsi="DIN Condensed Bold"/>
        <w:outline w:val="0"/>
        <w:color w:val="f46b75"/>
        <w:sz w:val="24"/>
        <w:szCs w:val="24"/>
        <w14:textFill>
          <w14:solidFill>
            <w14:srgbClr w14:val="F46B75"/>
          </w14:solidFill>
        </w14:textFill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venir Next Regular" w:cs="Arial Unicode MS" w:hAnsi="Avenir Next Regular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Subtitle">
    <w:name w:val="Subtitle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9"/>
    </w:pPr>
    <w:rPr>
      <w:rFonts w:ascii="Superclarendon Regular" w:cs="Arial Unicode MS" w:hAnsi="Superclarendon Regular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ffffff"/>
      <w:spacing w:val="0"/>
      <w:kern w:val="0"/>
      <w:position w:val="0"/>
      <w:sz w:val="28"/>
      <w:szCs w:val="28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FFFFFF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340" w:line="264" w:lineRule="auto"/>
      <w:ind w:left="0" w:right="0" w:firstLine="0"/>
      <w:jc w:val="left"/>
      <w:outlineLvl w:val="9"/>
    </w:pPr>
    <w:rPr>
      <w:rFonts w:ascii="Charter Roman" w:cs="Arial Unicode MS" w:hAnsi="Charter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Title">
    <w:name w:val="Title"/>
    <w:next w:val="Title"/>
    <w:pPr>
      <w:keepNext w:val="1"/>
      <w:keepLines w:val="0"/>
      <w:pageBreakBefore w:val="0"/>
      <w:widowControl w:val="1"/>
      <w:pBdr>
        <w:top w:val="nil"/>
        <w:left w:val="nil"/>
        <w:bottom w:val="single" w:color="ffffff" w:sz="8" w:space="0" w:shadow="0" w:frame="0"/>
        <w:right w:val="nil"/>
      </w:pBdr>
      <w:shd w:val="clear" w:color="auto" w:fill="auto"/>
      <w:suppressAutoHyphens w:val="0"/>
      <w:bidi w:val="0"/>
      <w:spacing w:before="0" w:after="40" w:line="240" w:lineRule="auto"/>
      <w:ind w:left="0" w:right="0" w:firstLine="0"/>
      <w:jc w:val="center"/>
      <w:outlineLvl w:val="0"/>
    </w:pPr>
    <w:rPr>
      <w:rFonts w:ascii="Superclarendon Regular" w:cs="Arial Unicode MS" w:hAnsi="Superclarendon Regular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ffffff"/>
      <w:spacing w:val="-16"/>
      <w:kern w:val="0"/>
      <w:position w:val="0"/>
      <w:sz w:val="84"/>
      <w:szCs w:val="8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FFFFFF"/>
        </w14:solidFill>
      </w14:textFill>
    </w:rPr>
  </w:style>
  <w:style w:type="paragraph" w:styleId="Shape Caption">
    <w:name w:val="Shape Caption"/>
    <w:next w:val="Shape Caption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434343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444444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12_School_Newsletter">
  <a:themeElements>
    <a:clrScheme name="12_School_Newsletter">
      <a:dk1>
        <a:srgbClr val="000000"/>
      </a:dk1>
      <a:lt1>
        <a:srgbClr val="FFFFFF"/>
      </a:lt1>
      <a:dk2>
        <a:srgbClr val="575757"/>
      </a:dk2>
      <a:lt2>
        <a:srgbClr val="D3D4D3"/>
      </a:lt2>
      <a:accent1>
        <a:srgbClr val="17BCCF"/>
      </a:accent1>
      <a:accent2>
        <a:srgbClr val="4F9D8D"/>
      </a:accent2>
      <a:accent3>
        <a:srgbClr val="72A65D"/>
      </a:accent3>
      <a:accent4>
        <a:srgbClr val="FFC610"/>
      </a:accent4>
      <a:accent5>
        <a:srgbClr val="FF8000"/>
      </a:accent5>
      <a:accent6>
        <a:srgbClr val="F46B75"/>
      </a:accent6>
      <a:hlink>
        <a:srgbClr val="0000FF"/>
      </a:hlink>
      <a:folHlink>
        <a:srgbClr val="FF00FF"/>
      </a:folHlink>
    </a:clrScheme>
    <a:fontScheme name="12_School_Newsletter">
      <a:majorFont>
        <a:latin typeface="Superclarendon Regular"/>
        <a:ea typeface="Superclarendon Regular"/>
        <a:cs typeface="Superclarendon Regular"/>
      </a:majorFont>
      <a:minorFont>
        <a:latin typeface="Superclarendon Regular"/>
        <a:ea typeface="Superclarendon Regular"/>
        <a:cs typeface="Superclarendon Regular"/>
      </a:minorFont>
    </a:fontScheme>
    <a:fmtScheme name="12_School_Newslett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chemeClr val="accent6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10000"/>
          </a:lnSpc>
          <a:spcBef>
            <a:spcPts val="170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harter Roman"/>
            <a:ea typeface="Charter Roman"/>
            <a:cs typeface="Charter Roman"/>
            <a:sym typeface="Charter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