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D56D7" w14:textId="77777777" w:rsidR="008E724E" w:rsidRPr="008E724E" w:rsidRDefault="008E724E" w:rsidP="008E724E">
      <w:pPr>
        <w:pStyle w:val="Title"/>
        <w:spacing w:line="360" w:lineRule="auto"/>
        <w:jc w:val="both"/>
        <w:rPr>
          <w:rFonts w:ascii="Times New Roman" w:hAnsi="Times New Roman" w:cs="Times New Roman"/>
          <w:kern w:val="0"/>
          <w:sz w:val="22"/>
          <w:szCs w:val="22"/>
          <w14:ligatures w14:val="none"/>
        </w:rPr>
      </w:pPr>
      <w:r w:rsidRPr="008E724E">
        <w:rPr>
          <w:rFonts w:ascii="Times New Roman" w:hAnsi="Times New Roman" w:cs="Times New Roman"/>
          <w:sz w:val="22"/>
          <w:szCs w:val="22"/>
        </w:rPr>
        <w:t>Case Study: Challenging Disproportionate Enforcement by a Public Authority</w:t>
      </w:r>
    </w:p>
    <w:p w14:paraId="5DC92FB9" w14:textId="77777777" w:rsidR="008E724E" w:rsidRPr="008E724E" w:rsidRDefault="008E724E" w:rsidP="008E724E">
      <w:pPr>
        <w:pStyle w:val="Subtitle"/>
        <w:spacing w:line="360" w:lineRule="auto"/>
        <w:jc w:val="both"/>
        <w:rPr>
          <w:rFonts w:ascii="Times New Roman" w:hAnsi="Times New Roman" w:cs="Times New Roman"/>
          <w:sz w:val="22"/>
          <w:szCs w:val="22"/>
        </w:rPr>
      </w:pPr>
      <w:r w:rsidRPr="008E724E">
        <w:rPr>
          <w:rFonts w:ascii="Times New Roman" w:hAnsi="Times New Roman" w:cs="Times New Roman"/>
          <w:sz w:val="22"/>
          <w:szCs w:val="22"/>
        </w:rPr>
        <w:t>Demonstrating the Need for Proportionate Action in Debt Recovery</w:t>
      </w:r>
    </w:p>
    <w:p w14:paraId="0A38C033" w14:textId="77777777" w:rsidR="008E724E" w:rsidRPr="008E724E" w:rsidRDefault="008E724E" w:rsidP="008E724E">
      <w:pPr>
        <w:pStyle w:val="Heading1"/>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Overview</w:t>
      </w:r>
    </w:p>
    <w:p w14:paraId="3E321EE6" w14:textId="77777777" w:rsidR="008E724E" w:rsidRPr="008E724E" w:rsidRDefault="008E724E" w:rsidP="008E724E">
      <w:pPr>
        <w:spacing w:line="360" w:lineRule="auto"/>
        <w:jc w:val="both"/>
        <w:rPr>
          <w:rFonts w:ascii="Times New Roman" w:eastAsiaTheme="minorEastAsia" w:hAnsi="Times New Roman" w:cs="Times New Roman"/>
          <w:sz w:val="22"/>
          <w:szCs w:val="22"/>
        </w:rPr>
      </w:pPr>
      <w:r w:rsidRPr="008E724E">
        <w:rPr>
          <w:rFonts w:ascii="Times New Roman" w:hAnsi="Times New Roman" w:cs="Times New Roman"/>
          <w:sz w:val="22"/>
          <w:szCs w:val="22"/>
        </w:rPr>
        <w:t xml:space="preserve">Our client, an entrepreneur, litigant-in-person and full-time </w:t>
      </w:r>
      <w:proofErr w:type="spellStart"/>
      <w:r w:rsidRPr="008E724E">
        <w:rPr>
          <w:rFonts w:ascii="Times New Roman" w:hAnsi="Times New Roman" w:cs="Times New Roman"/>
          <w:sz w:val="22"/>
          <w:szCs w:val="22"/>
        </w:rPr>
        <w:t>carer</w:t>
      </w:r>
      <w:proofErr w:type="spellEnd"/>
      <w:r w:rsidRPr="008E724E">
        <w:rPr>
          <w:rFonts w:ascii="Times New Roman" w:hAnsi="Times New Roman" w:cs="Times New Roman"/>
          <w:sz w:val="22"/>
          <w:szCs w:val="22"/>
        </w:rPr>
        <w:t xml:space="preserve"> for a vulnerable elderly relative, sought assistance when a government enforcement body pursued severe enforcement action arising from an alleged liability of approximately £32,000.</w:t>
      </w:r>
    </w:p>
    <w:p w14:paraId="23D82424" w14:textId="77777777" w:rsidR="008E724E" w:rsidRPr="008E724E" w:rsidRDefault="008E724E" w:rsidP="008E724E">
      <w:pPr>
        <w:spacing w:line="360" w:lineRule="auto"/>
        <w:jc w:val="both"/>
        <w:rPr>
          <w:rFonts w:ascii="Times New Roman" w:hAnsi="Times New Roman" w:cs="Times New Roman"/>
          <w:sz w:val="22"/>
          <w:szCs w:val="22"/>
        </w:rPr>
      </w:pPr>
      <w:r w:rsidRPr="008E724E">
        <w:rPr>
          <w:rFonts w:ascii="Times New Roman" w:hAnsi="Times New Roman" w:cs="Times New Roman"/>
          <w:sz w:val="22"/>
          <w:szCs w:val="22"/>
        </w:rPr>
        <w:t>At the time enforcement action was initiated, our client had suffered significant injuries following a road traffic accident, was medically unfit for work, was undergoing ongoing rehabilitation and physiotherapy, and was receiving state benefits. Importantly, deductions were already being made from those benefits towards the alleged liability.</w:t>
      </w:r>
    </w:p>
    <w:p w14:paraId="35EF309A" w14:textId="77777777" w:rsidR="008E724E" w:rsidRPr="008E724E" w:rsidRDefault="008E724E" w:rsidP="008E724E">
      <w:pPr>
        <w:spacing w:line="360" w:lineRule="auto"/>
        <w:jc w:val="both"/>
        <w:rPr>
          <w:rFonts w:ascii="Times New Roman" w:hAnsi="Times New Roman" w:cs="Times New Roman"/>
          <w:sz w:val="22"/>
          <w:szCs w:val="22"/>
        </w:rPr>
      </w:pPr>
      <w:r w:rsidRPr="008E724E">
        <w:rPr>
          <w:rFonts w:ascii="Times New Roman" w:hAnsi="Times New Roman" w:cs="Times New Roman"/>
          <w:sz w:val="22"/>
          <w:szCs w:val="22"/>
        </w:rPr>
        <w:t>The respondent was a government agency responsible for the collection and enforcement of statutory maintenance obligations and possessed powers enabling it to seek imprisonment, passport restriction and driving licence disqualification.</w:t>
      </w:r>
    </w:p>
    <w:p w14:paraId="34284E46" w14:textId="77777777" w:rsidR="008E724E" w:rsidRPr="008E724E" w:rsidRDefault="008E724E" w:rsidP="008E724E">
      <w:pPr>
        <w:pStyle w:val="Heading1"/>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Key Issues Identified</w:t>
      </w:r>
    </w:p>
    <w:p w14:paraId="094FB477" w14:textId="77777777" w:rsidR="008E724E" w:rsidRPr="008E724E" w:rsidRDefault="008E724E" w:rsidP="008E724E">
      <w:pPr>
        <w:numPr>
          <w:ilvl w:val="0"/>
          <w:numId w:val="28"/>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The respondent was already receiving payments through benefit deductions.</w:t>
      </w:r>
    </w:p>
    <w:p w14:paraId="51CAF552" w14:textId="77777777" w:rsidR="008E724E" w:rsidRPr="008E724E" w:rsidRDefault="008E724E" w:rsidP="008E724E">
      <w:pPr>
        <w:numPr>
          <w:ilvl w:val="0"/>
          <w:numId w:val="28"/>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The claimant was medically incapacitated following a serious road traffic accident.</w:t>
      </w:r>
    </w:p>
    <w:p w14:paraId="72323E8D" w14:textId="77777777" w:rsidR="008E724E" w:rsidRPr="008E724E" w:rsidRDefault="008E724E" w:rsidP="008E724E">
      <w:pPr>
        <w:numPr>
          <w:ilvl w:val="0"/>
          <w:numId w:val="28"/>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The claimant was the primary carer for an elderly relative suffering from vascular dementia.</w:t>
      </w:r>
    </w:p>
    <w:p w14:paraId="0C96996B" w14:textId="77777777" w:rsidR="008E724E" w:rsidRPr="008E724E" w:rsidRDefault="008E724E" w:rsidP="008E724E">
      <w:pPr>
        <w:numPr>
          <w:ilvl w:val="0"/>
          <w:numId w:val="28"/>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The claimant held legal responsibilities under Lasting Powers of Attorney for both welfare and financial matters.</w:t>
      </w:r>
    </w:p>
    <w:p w14:paraId="08884A75" w14:textId="77777777" w:rsidR="008E724E" w:rsidRPr="008E724E" w:rsidRDefault="008E724E" w:rsidP="008E724E">
      <w:pPr>
        <w:numPr>
          <w:ilvl w:val="0"/>
          <w:numId w:val="28"/>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The claimant was actively seeking to rebuild earning capacity through several business ventures.</w:t>
      </w:r>
    </w:p>
    <w:p w14:paraId="6F9D20E6" w14:textId="77777777" w:rsidR="008E724E" w:rsidRPr="008E724E" w:rsidRDefault="008E724E" w:rsidP="008E724E">
      <w:pPr>
        <w:numPr>
          <w:ilvl w:val="0"/>
          <w:numId w:val="28"/>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The claimant was engaged in ongoing litigation and public-interest legal proceedings requiring active management.</w:t>
      </w:r>
    </w:p>
    <w:p w14:paraId="7A0412CF" w14:textId="77777777" w:rsidR="008E724E" w:rsidRPr="008E724E" w:rsidRDefault="008E724E" w:rsidP="008E724E">
      <w:pPr>
        <w:numPr>
          <w:ilvl w:val="0"/>
          <w:numId w:val="28"/>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The proposed sanctions risked preventing the claimant from generating future income from which larger payments could be made.</w:t>
      </w:r>
    </w:p>
    <w:p w14:paraId="095287C3" w14:textId="77777777" w:rsidR="008E724E" w:rsidRPr="008E724E" w:rsidRDefault="008E724E" w:rsidP="008E724E">
      <w:pPr>
        <w:spacing w:line="360" w:lineRule="auto"/>
        <w:jc w:val="both"/>
        <w:rPr>
          <w:rFonts w:ascii="Times New Roman" w:eastAsiaTheme="minorEastAsia" w:hAnsi="Times New Roman" w:cs="Times New Roman"/>
          <w:sz w:val="22"/>
          <w:szCs w:val="22"/>
        </w:rPr>
      </w:pPr>
      <w:r w:rsidRPr="008E724E">
        <w:rPr>
          <w:rFonts w:ascii="Times New Roman" w:hAnsi="Times New Roman" w:cs="Times New Roman"/>
          <w:sz w:val="22"/>
          <w:szCs w:val="22"/>
        </w:rPr>
        <w:t>A central issue arose as to whether the proposed enforcement measures were proportionate when less restrictive recovery mechanisms were already operating successfully.</w:t>
      </w:r>
    </w:p>
    <w:p w14:paraId="3E2F015B" w14:textId="77777777" w:rsidR="008E724E" w:rsidRPr="008E724E" w:rsidRDefault="008E724E" w:rsidP="008E724E">
      <w:pPr>
        <w:pStyle w:val="Heading1"/>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Findings</w:t>
      </w:r>
    </w:p>
    <w:p w14:paraId="2C53DEC5" w14:textId="77777777" w:rsidR="008E724E" w:rsidRPr="008E724E" w:rsidRDefault="008E724E" w:rsidP="008E724E">
      <w:pPr>
        <w:numPr>
          <w:ilvl w:val="0"/>
          <w:numId w:val="29"/>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Proportionality of enforcement.</w:t>
      </w:r>
    </w:p>
    <w:p w14:paraId="2895F5D2" w14:textId="77777777" w:rsidR="008E724E" w:rsidRPr="008E724E" w:rsidRDefault="008E724E" w:rsidP="008E724E">
      <w:pPr>
        <w:numPr>
          <w:ilvl w:val="0"/>
          <w:numId w:val="29"/>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lastRenderedPageBreak/>
        <w:t>Access to justice.</w:t>
      </w:r>
    </w:p>
    <w:p w14:paraId="1C04535B" w14:textId="77777777" w:rsidR="008E724E" w:rsidRPr="008E724E" w:rsidRDefault="008E724E" w:rsidP="008E724E">
      <w:pPr>
        <w:numPr>
          <w:ilvl w:val="0"/>
          <w:numId w:val="29"/>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Private and family life rights.</w:t>
      </w:r>
    </w:p>
    <w:p w14:paraId="6CFE8A45" w14:textId="77777777" w:rsidR="008E724E" w:rsidRPr="008E724E" w:rsidRDefault="008E724E" w:rsidP="008E724E">
      <w:pPr>
        <w:numPr>
          <w:ilvl w:val="0"/>
          <w:numId w:val="29"/>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Impact on vulnerable third parties.</w:t>
      </w:r>
    </w:p>
    <w:p w14:paraId="7C0B6C74" w14:textId="77777777" w:rsidR="008E724E" w:rsidRPr="008E724E" w:rsidRDefault="008E724E" w:rsidP="008E724E">
      <w:pPr>
        <w:numPr>
          <w:ilvl w:val="0"/>
          <w:numId w:val="29"/>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Future earning capacity.</w:t>
      </w:r>
    </w:p>
    <w:p w14:paraId="5D4C93DA" w14:textId="77777777" w:rsidR="008E724E" w:rsidRPr="008E724E" w:rsidRDefault="008E724E" w:rsidP="008E724E">
      <w:pPr>
        <w:numPr>
          <w:ilvl w:val="0"/>
          <w:numId w:val="29"/>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Public law reasonableness.</w:t>
      </w:r>
    </w:p>
    <w:p w14:paraId="5DD0F9D2" w14:textId="77777777" w:rsidR="008E724E" w:rsidRPr="008E724E" w:rsidRDefault="008E724E" w:rsidP="008E724E">
      <w:pPr>
        <w:numPr>
          <w:ilvl w:val="0"/>
          <w:numId w:val="29"/>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The practical objective of debt recovery.</w:t>
      </w:r>
    </w:p>
    <w:p w14:paraId="350CCF25" w14:textId="77777777" w:rsidR="008E724E" w:rsidRPr="008E724E" w:rsidRDefault="008E724E" w:rsidP="008E724E">
      <w:pPr>
        <w:spacing w:line="360" w:lineRule="auto"/>
        <w:jc w:val="both"/>
        <w:rPr>
          <w:rFonts w:ascii="Times New Roman" w:eastAsiaTheme="minorEastAsia" w:hAnsi="Times New Roman" w:cs="Times New Roman"/>
          <w:sz w:val="22"/>
          <w:szCs w:val="22"/>
        </w:rPr>
      </w:pPr>
      <w:r w:rsidRPr="008E724E">
        <w:rPr>
          <w:rFonts w:ascii="Times New Roman" w:hAnsi="Times New Roman" w:cs="Times New Roman"/>
          <w:sz w:val="22"/>
          <w:szCs w:val="22"/>
        </w:rPr>
        <w:t>The case highlighted the contradiction between a public authority seeking repayment of an alleged debt while simultaneously pursuing measures capable of preventing the individual from working, conducting business, travelling internationally, caring for a vulnerable dependent and managing ongoing legal proceedings.</w:t>
      </w:r>
    </w:p>
    <w:p w14:paraId="4773A0D2" w14:textId="77777777" w:rsidR="008E724E" w:rsidRPr="008E724E" w:rsidRDefault="008E724E" w:rsidP="008E724E">
      <w:pPr>
        <w:spacing w:line="360" w:lineRule="auto"/>
        <w:jc w:val="both"/>
        <w:rPr>
          <w:rFonts w:ascii="Times New Roman" w:hAnsi="Times New Roman" w:cs="Times New Roman"/>
          <w:sz w:val="22"/>
          <w:szCs w:val="22"/>
        </w:rPr>
      </w:pPr>
      <w:r w:rsidRPr="008E724E">
        <w:rPr>
          <w:rFonts w:ascii="Times New Roman" w:hAnsi="Times New Roman" w:cs="Times New Roman"/>
          <w:sz w:val="22"/>
          <w:szCs w:val="22"/>
        </w:rPr>
        <w:t>Evidence demonstrated that imprisonment, driving licence disqualification and passport restriction were likely to reduce, rather than improve, the claimant's ability to satisfy future liabilities.</w:t>
      </w:r>
    </w:p>
    <w:p w14:paraId="39ED8516" w14:textId="77777777" w:rsidR="008E724E" w:rsidRPr="008E724E" w:rsidRDefault="008E724E" w:rsidP="008E724E">
      <w:pPr>
        <w:pStyle w:val="Heading1"/>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Outcome and Benefit to the Claimant</w:t>
      </w:r>
    </w:p>
    <w:p w14:paraId="68176CF0" w14:textId="77777777" w:rsidR="008E724E" w:rsidRPr="008E724E" w:rsidRDefault="008E724E" w:rsidP="008E724E">
      <w:pPr>
        <w:numPr>
          <w:ilvl w:val="0"/>
          <w:numId w:val="30"/>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Existing payments already being made through benefit deductions.</w:t>
      </w:r>
    </w:p>
    <w:p w14:paraId="65BB2C1F" w14:textId="77777777" w:rsidR="008E724E" w:rsidRPr="008E724E" w:rsidRDefault="008E724E" w:rsidP="008E724E">
      <w:pPr>
        <w:numPr>
          <w:ilvl w:val="0"/>
          <w:numId w:val="30"/>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Medical evidence demonstrating incapacity.</w:t>
      </w:r>
    </w:p>
    <w:p w14:paraId="5898818B" w14:textId="77777777" w:rsidR="008E724E" w:rsidRPr="008E724E" w:rsidRDefault="008E724E" w:rsidP="008E724E">
      <w:pPr>
        <w:numPr>
          <w:ilvl w:val="0"/>
          <w:numId w:val="30"/>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Evidence of caring responsibilities.</w:t>
      </w:r>
    </w:p>
    <w:p w14:paraId="6DAE9AFE" w14:textId="77777777" w:rsidR="008E724E" w:rsidRPr="008E724E" w:rsidRDefault="008E724E" w:rsidP="008E724E">
      <w:pPr>
        <w:numPr>
          <w:ilvl w:val="0"/>
          <w:numId w:val="30"/>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Business and commercial opportunities capable of restoring future income.</w:t>
      </w:r>
    </w:p>
    <w:p w14:paraId="5E7CF8E2" w14:textId="77777777" w:rsidR="008E724E" w:rsidRPr="008E724E" w:rsidRDefault="008E724E" w:rsidP="008E724E">
      <w:pPr>
        <w:numPr>
          <w:ilvl w:val="0"/>
          <w:numId w:val="30"/>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Human rights considerations.</w:t>
      </w:r>
    </w:p>
    <w:p w14:paraId="7B64E49E" w14:textId="77777777" w:rsidR="008E724E" w:rsidRPr="008E724E" w:rsidRDefault="008E724E" w:rsidP="008E724E">
      <w:pPr>
        <w:numPr>
          <w:ilvl w:val="0"/>
          <w:numId w:val="30"/>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Public law proportionality principles.</w:t>
      </w:r>
    </w:p>
    <w:p w14:paraId="68A37E87" w14:textId="77777777" w:rsidR="008E724E" w:rsidRPr="008E724E" w:rsidRDefault="008E724E" w:rsidP="008E724E">
      <w:pPr>
        <w:numPr>
          <w:ilvl w:val="0"/>
          <w:numId w:val="30"/>
        </w:numPr>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The wider impact on innocent third parties.</w:t>
      </w:r>
    </w:p>
    <w:p w14:paraId="6339E811" w14:textId="77777777" w:rsidR="008E724E" w:rsidRPr="008E724E" w:rsidRDefault="008E724E" w:rsidP="008E724E">
      <w:pPr>
        <w:spacing w:line="360" w:lineRule="auto"/>
        <w:jc w:val="both"/>
        <w:rPr>
          <w:rFonts w:ascii="Times New Roman" w:eastAsiaTheme="minorEastAsia" w:hAnsi="Times New Roman" w:cs="Times New Roman"/>
          <w:sz w:val="22"/>
          <w:szCs w:val="22"/>
        </w:rPr>
      </w:pPr>
      <w:r w:rsidRPr="008E724E">
        <w:rPr>
          <w:rFonts w:ascii="Times New Roman" w:hAnsi="Times New Roman" w:cs="Times New Roman"/>
          <w:sz w:val="22"/>
          <w:szCs w:val="22"/>
        </w:rPr>
        <w:t>The resulting representations placed significant emphasis on the need for proportionate enforcement rather than punitive measures.</w:t>
      </w:r>
    </w:p>
    <w:p w14:paraId="3F88CB03" w14:textId="77777777" w:rsidR="008E724E" w:rsidRPr="008E724E" w:rsidRDefault="008E724E" w:rsidP="008E724E">
      <w:pPr>
        <w:spacing w:line="360" w:lineRule="auto"/>
        <w:jc w:val="both"/>
        <w:rPr>
          <w:rFonts w:ascii="Times New Roman" w:hAnsi="Times New Roman" w:cs="Times New Roman"/>
          <w:sz w:val="22"/>
          <w:szCs w:val="22"/>
        </w:rPr>
      </w:pPr>
      <w:r w:rsidRPr="008E724E">
        <w:rPr>
          <w:rFonts w:ascii="Times New Roman" w:hAnsi="Times New Roman" w:cs="Times New Roman"/>
          <w:sz w:val="22"/>
          <w:szCs w:val="22"/>
        </w:rPr>
        <w:t>The claimant benefited from a robustly evidenced case demonstrating that continued severe enforcement measures risked causing unnecessary harm, restricting future earning opportunities and frustrating the very objective the respondent sought to achieve.</w:t>
      </w:r>
    </w:p>
    <w:p w14:paraId="7DE10F13" w14:textId="77777777" w:rsidR="008E724E" w:rsidRPr="008E724E" w:rsidRDefault="008E724E" w:rsidP="008E724E">
      <w:pPr>
        <w:pStyle w:val="Heading1"/>
        <w:spacing w:line="360" w:lineRule="auto"/>
        <w:jc w:val="both"/>
        <w:rPr>
          <w:rFonts w:ascii="Times New Roman" w:eastAsia="Times New Roman" w:hAnsi="Times New Roman" w:cs="Times New Roman"/>
          <w:sz w:val="22"/>
          <w:szCs w:val="22"/>
        </w:rPr>
      </w:pPr>
      <w:r w:rsidRPr="008E724E">
        <w:rPr>
          <w:rFonts w:ascii="Times New Roman" w:eastAsia="Times New Roman" w:hAnsi="Times New Roman" w:cs="Times New Roman"/>
          <w:sz w:val="22"/>
          <w:szCs w:val="22"/>
        </w:rPr>
        <w:t>Key Achievement</w:t>
      </w:r>
    </w:p>
    <w:p w14:paraId="3E0C35B4" w14:textId="77777777" w:rsidR="008E724E" w:rsidRPr="008E724E" w:rsidRDefault="008E724E" w:rsidP="008E724E">
      <w:pPr>
        <w:spacing w:line="360" w:lineRule="auto"/>
        <w:jc w:val="both"/>
        <w:rPr>
          <w:rFonts w:ascii="Times New Roman" w:eastAsiaTheme="minorEastAsia" w:hAnsi="Times New Roman" w:cs="Times New Roman"/>
          <w:sz w:val="22"/>
          <w:szCs w:val="22"/>
        </w:rPr>
      </w:pPr>
      <w:r w:rsidRPr="008E724E">
        <w:rPr>
          <w:rFonts w:ascii="Times New Roman" w:hAnsi="Times New Roman" w:cs="Times New Roman"/>
          <w:sz w:val="22"/>
          <w:szCs w:val="22"/>
        </w:rPr>
        <w:t xml:space="preserve">This matter demonstrates the importance of looking beyond the face value of an alleged liability and examining the wider circumstances of the individual involved. By focusing on proportionality, </w:t>
      </w:r>
      <w:r w:rsidRPr="008E724E">
        <w:rPr>
          <w:rFonts w:ascii="Times New Roman" w:hAnsi="Times New Roman" w:cs="Times New Roman"/>
          <w:sz w:val="22"/>
          <w:szCs w:val="22"/>
        </w:rPr>
        <w:lastRenderedPageBreak/>
        <w:t>vulnerability, future earning capacity and practical recovery outcomes, a compelling case was assembled showing how severe enforcement measures can sometimes be contrary to both fairness and common sense.</w:t>
      </w:r>
    </w:p>
    <w:sectPr w:rsidR="008E724E" w:rsidRPr="008E724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E94F9" w14:textId="77777777" w:rsidR="00A258F8" w:rsidRDefault="00A258F8" w:rsidP="008E724E">
      <w:pPr>
        <w:spacing w:after="0" w:line="240" w:lineRule="auto"/>
      </w:pPr>
      <w:r>
        <w:separator/>
      </w:r>
    </w:p>
  </w:endnote>
  <w:endnote w:type="continuationSeparator" w:id="0">
    <w:p w14:paraId="7F989DC5" w14:textId="77777777" w:rsidR="00A258F8" w:rsidRDefault="00A258F8" w:rsidP="008E7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80C3A" w14:textId="77777777" w:rsidR="008E724E" w:rsidRDefault="008E72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79F7" w14:textId="77777777" w:rsidR="008E724E" w:rsidRDefault="008E72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3709" w14:textId="77777777" w:rsidR="008E724E" w:rsidRDefault="008E72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930B6" w14:textId="77777777" w:rsidR="00A258F8" w:rsidRDefault="00A258F8" w:rsidP="008E724E">
      <w:pPr>
        <w:spacing w:after="0" w:line="240" w:lineRule="auto"/>
      </w:pPr>
      <w:r>
        <w:separator/>
      </w:r>
    </w:p>
  </w:footnote>
  <w:footnote w:type="continuationSeparator" w:id="0">
    <w:p w14:paraId="7CDF906C" w14:textId="77777777" w:rsidR="00A258F8" w:rsidRDefault="00A258F8" w:rsidP="008E7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467FD" w14:textId="58A1F76C" w:rsidR="008E724E" w:rsidRDefault="008E724E">
    <w:pPr>
      <w:pStyle w:val="Header"/>
    </w:pPr>
    <w:r>
      <w:rPr>
        <w:noProof/>
      </w:rPr>
      <w:pict w14:anchorId="589DC6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955501" o:spid="_x0000_s1026" type="#_x0000_t75" style="position:absolute;margin-left:0;margin-top:0;width:451.15pt;height:609.15pt;z-index:-251657216;mso-position-horizontal:center;mso-position-horizontal-relative:margin;mso-position-vertical:center;mso-position-vertical-relative:margin" o:allowincell="f">
          <v:imagedata r:id="rId1" o:title="JUSTICE ON APPEAL LOGO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F33E" w14:textId="37E519A9" w:rsidR="008E724E" w:rsidRDefault="008E724E">
    <w:pPr>
      <w:pStyle w:val="Header"/>
    </w:pPr>
    <w:r>
      <w:rPr>
        <w:noProof/>
      </w:rPr>
      <w:pict w14:anchorId="6B163E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955502" o:spid="_x0000_s1027" type="#_x0000_t75" style="position:absolute;margin-left:0;margin-top:0;width:451.15pt;height:609.15pt;z-index:-251656192;mso-position-horizontal:center;mso-position-horizontal-relative:margin;mso-position-vertical:center;mso-position-vertical-relative:margin" o:allowincell="f">
          <v:imagedata r:id="rId1" o:title="JUSTICE ON APPEAL LOGO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DD9F" w14:textId="3A961250" w:rsidR="008E724E" w:rsidRDefault="008E724E">
    <w:pPr>
      <w:pStyle w:val="Header"/>
    </w:pPr>
    <w:r>
      <w:rPr>
        <w:noProof/>
      </w:rPr>
      <w:pict w14:anchorId="2A4949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955500" o:spid="_x0000_s1025" type="#_x0000_t75" style="position:absolute;margin-left:0;margin-top:0;width:451.15pt;height:609.15pt;z-index:-251658240;mso-position-horizontal:center;mso-position-horizontal-relative:margin;mso-position-vertical:center;mso-position-vertical-relative:margin" o:allowincell="f">
          <v:imagedata r:id="rId1" o:title="JUSTICE ON APPEAL LOGO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1EE"/>
    <w:multiLevelType w:val="multilevel"/>
    <w:tmpl w:val="40543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E83476"/>
    <w:multiLevelType w:val="multilevel"/>
    <w:tmpl w:val="94147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56B86"/>
    <w:multiLevelType w:val="multilevel"/>
    <w:tmpl w:val="62503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2D7ABE"/>
    <w:multiLevelType w:val="multilevel"/>
    <w:tmpl w:val="4B3A5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991C55"/>
    <w:multiLevelType w:val="multilevel"/>
    <w:tmpl w:val="63542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F07633"/>
    <w:multiLevelType w:val="multilevel"/>
    <w:tmpl w:val="C1A44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902BDD"/>
    <w:multiLevelType w:val="multilevel"/>
    <w:tmpl w:val="E6A26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F90837"/>
    <w:multiLevelType w:val="multilevel"/>
    <w:tmpl w:val="A8D8E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AA0FFB"/>
    <w:multiLevelType w:val="multilevel"/>
    <w:tmpl w:val="9D94C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DB5D46"/>
    <w:multiLevelType w:val="multilevel"/>
    <w:tmpl w:val="415C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5A1DD6"/>
    <w:multiLevelType w:val="multilevel"/>
    <w:tmpl w:val="958A4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6B3504"/>
    <w:multiLevelType w:val="multilevel"/>
    <w:tmpl w:val="21284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FF4E81"/>
    <w:multiLevelType w:val="multilevel"/>
    <w:tmpl w:val="C16E2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431E7C"/>
    <w:multiLevelType w:val="multilevel"/>
    <w:tmpl w:val="4D7AB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5951AE"/>
    <w:multiLevelType w:val="multilevel"/>
    <w:tmpl w:val="68C0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B21740"/>
    <w:multiLevelType w:val="multilevel"/>
    <w:tmpl w:val="41386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D67501"/>
    <w:multiLevelType w:val="multilevel"/>
    <w:tmpl w:val="FF446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8A7388"/>
    <w:multiLevelType w:val="multilevel"/>
    <w:tmpl w:val="CCEE3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5C55F0"/>
    <w:multiLevelType w:val="multilevel"/>
    <w:tmpl w:val="61C68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9D6086"/>
    <w:multiLevelType w:val="multilevel"/>
    <w:tmpl w:val="7E28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03C9E"/>
    <w:multiLevelType w:val="multilevel"/>
    <w:tmpl w:val="7FD45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147D45"/>
    <w:multiLevelType w:val="multilevel"/>
    <w:tmpl w:val="163A3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67699C"/>
    <w:multiLevelType w:val="multilevel"/>
    <w:tmpl w:val="A1C6A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EE7362"/>
    <w:multiLevelType w:val="multilevel"/>
    <w:tmpl w:val="968AD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5E545B"/>
    <w:multiLevelType w:val="multilevel"/>
    <w:tmpl w:val="E22E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7B6F3A"/>
    <w:multiLevelType w:val="multilevel"/>
    <w:tmpl w:val="BDC60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1C7427"/>
    <w:multiLevelType w:val="multilevel"/>
    <w:tmpl w:val="A3544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A208EC"/>
    <w:multiLevelType w:val="multilevel"/>
    <w:tmpl w:val="F87AF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732A3E"/>
    <w:multiLevelType w:val="multilevel"/>
    <w:tmpl w:val="AE4C3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C85917"/>
    <w:multiLevelType w:val="multilevel"/>
    <w:tmpl w:val="1862C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7139358">
    <w:abstractNumId w:val="19"/>
  </w:num>
  <w:num w:numId="2" w16cid:durableId="1266888251">
    <w:abstractNumId w:val="24"/>
  </w:num>
  <w:num w:numId="3" w16cid:durableId="125315503">
    <w:abstractNumId w:val="9"/>
  </w:num>
  <w:num w:numId="4" w16cid:durableId="899368966">
    <w:abstractNumId w:val="11"/>
  </w:num>
  <w:num w:numId="5" w16cid:durableId="948194751">
    <w:abstractNumId w:val="4"/>
  </w:num>
  <w:num w:numId="6" w16cid:durableId="1713310130">
    <w:abstractNumId w:val="6"/>
  </w:num>
  <w:num w:numId="7" w16cid:durableId="708146774">
    <w:abstractNumId w:val="10"/>
  </w:num>
  <w:num w:numId="8" w16cid:durableId="410853685">
    <w:abstractNumId w:val="18"/>
  </w:num>
  <w:num w:numId="9" w16cid:durableId="1014919020">
    <w:abstractNumId w:val="26"/>
  </w:num>
  <w:num w:numId="10" w16cid:durableId="2071034772">
    <w:abstractNumId w:val="3"/>
  </w:num>
  <w:num w:numId="11" w16cid:durableId="960108001">
    <w:abstractNumId w:val="29"/>
  </w:num>
  <w:num w:numId="12" w16cid:durableId="1559904055">
    <w:abstractNumId w:val="25"/>
  </w:num>
  <w:num w:numId="13" w16cid:durableId="615647599">
    <w:abstractNumId w:val="17"/>
  </w:num>
  <w:num w:numId="14" w16cid:durableId="27487322">
    <w:abstractNumId w:val="23"/>
  </w:num>
  <w:num w:numId="15" w16cid:durableId="356783935">
    <w:abstractNumId w:val="7"/>
  </w:num>
  <w:num w:numId="16" w16cid:durableId="898827821">
    <w:abstractNumId w:val="16"/>
  </w:num>
  <w:num w:numId="17" w16cid:durableId="1002319189">
    <w:abstractNumId w:val="21"/>
  </w:num>
  <w:num w:numId="18" w16cid:durableId="230966726">
    <w:abstractNumId w:val="27"/>
  </w:num>
  <w:num w:numId="19" w16cid:durableId="127095706">
    <w:abstractNumId w:val="2"/>
  </w:num>
  <w:num w:numId="20" w16cid:durableId="1058819173">
    <w:abstractNumId w:val="22"/>
  </w:num>
  <w:num w:numId="21" w16cid:durableId="143670685">
    <w:abstractNumId w:val="1"/>
  </w:num>
  <w:num w:numId="22" w16cid:durableId="406927365">
    <w:abstractNumId w:val="12"/>
  </w:num>
  <w:num w:numId="23" w16cid:durableId="218438993">
    <w:abstractNumId w:val="13"/>
  </w:num>
  <w:num w:numId="24" w16cid:durableId="2025739732">
    <w:abstractNumId w:val="8"/>
  </w:num>
  <w:num w:numId="25" w16cid:durableId="1451433184">
    <w:abstractNumId w:val="28"/>
  </w:num>
  <w:num w:numId="26" w16cid:durableId="419067588">
    <w:abstractNumId w:val="5"/>
  </w:num>
  <w:num w:numId="27" w16cid:durableId="1326323885">
    <w:abstractNumId w:val="14"/>
  </w:num>
  <w:num w:numId="28" w16cid:durableId="1758794356">
    <w:abstractNumId w:val="15"/>
  </w:num>
  <w:num w:numId="29" w16cid:durableId="1280407448">
    <w:abstractNumId w:val="0"/>
  </w:num>
  <w:num w:numId="30" w16cid:durableId="8422777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24E"/>
    <w:rsid w:val="003A23C4"/>
    <w:rsid w:val="005015E0"/>
    <w:rsid w:val="00517DA1"/>
    <w:rsid w:val="008E724E"/>
    <w:rsid w:val="00A258F8"/>
    <w:rsid w:val="00C46FF2"/>
    <w:rsid w:val="00C57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E1925"/>
  <w15:chartTrackingRefBased/>
  <w15:docId w15:val="{24087657-858D-4816-BED0-28490C0EC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7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2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2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2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2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2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2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2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2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2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2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2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2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2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2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2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24E"/>
    <w:rPr>
      <w:rFonts w:eastAsiaTheme="majorEastAsia" w:cstheme="majorBidi"/>
      <w:color w:val="272727" w:themeColor="text1" w:themeTint="D8"/>
    </w:rPr>
  </w:style>
  <w:style w:type="paragraph" w:styleId="Title">
    <w:name w:val="Title"/>
    <w:basedOn w:val="Normal"/>
    <w:next w:val="Normal"/>
    <w:link w:val="TitleChar"/>
    <w:uiPriority w:val="10"/>
    <w:qFormat/>
    <w:rsid w:val="008E7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2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2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2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24E"/>
    <w:pPr>
      <w:spacing w:before="160"/>
      <w:jc w:val="center"/>
    </w:pPr>
    <w:rPr>
      <w:i/>
      <w:iCs/>
      <w:color w:val="404040" w:themeColor="text1" w:themeTint="BF"/>
    </w:rPr>
  </w:style>
  <w:style w:type="character" w:customStyle="1" w:styleId="QuoteChar">
    <w:name w:val="Quote Char"/>
    <w:basedOn w:val="DefaultParagraphFont"/>
    <w:link w:val="Quote"/>
    <w:uiPriority w:val="29"/>
    <w:rsid w:val="008E724E"/>
    <w:rPr>
      <w:i/>
      <w:iCs/>
      <w:color w:val="404040" w:themeColor="text1" w:themeTint="BF"/>
    </w:rPr>
  </w:style>
  <w:style w:type="paragraph" w:styleId="ListParagraph">
    <w:name w:val="List Paragraph"/>
    <w:basedOn w:val="Normal"/>
    <w:uiPriority w:val="34"/>
    <w:qFormat/>
    <w:rsid w:val="008E724E"/>
    <w:pPr>
      <w:ind w:left="720"/>
      <w:contextualSpacing/>
    </w:pPr>
  </w:style>
  <w:style w:type="character" w:styleId="IntenseEmphasis">
    <w:name w:val="Intense Emphasis"/>
    <w:basedOn w:val="DefaultParagraphFont"/>
    <w:uiPriority w:val="21"/>
    <w:qFormat/>
    <w:rsid w:val="008E724E"/>
    <w:rPr>
      <w:i/>
      <w:iCs/>
      <w:color w:val="0F4761" w:themeColor="accent1" w:themeShade="BF"/>
    </w:rPr>
  </w:style>
  <w:style w:type="paragraph" w:styleId="IntenseQuote">
    <w:name w:val="Intense Quote"/>
    <w:basedOn w:val="Normal"/>
    <w:next w:val="Normal"/>
    <w:link w:val="IntenseQuoteChar"/>
    <w:uiPriority w:val="30"/>
    <w:qFormat/>
    <w:rsid w:val="008E7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24E"/>
    <w:rPr>
      <w:i/>
      <w:iCs/>
      <w:color w:val="0F4761" w:themeColor="accent1" w:themeShade="BF"/>
    </w:rPr>
  </w:style>
  <w:style w:type="character" w:styleId="IntenseReference">
    <w:name w:val="Intense Reference"/>
    <w:basedOn w:val="DefaultParagraphFont"/>
    <w:uiPriority w:val="32"/>
    <w:qFormat/>
    <w:rsid w:val="008E724E"/>
    <w:rPr>
      <w:b/>
      <w:bCs/>
      <w:smallCaps/>
      <w:color w:val="0F4761" w:themeColor="accent1" w:themeShade="BF"/>
      <w:spacing w:val="5"/>
    </w:rPr>
  </w:style>
  <w:style w:type="paragraph" w:styleId="Header">
    <w:name w:val="header"/>
    <w:basedOn w:val="Normal"/>
    <w:link w:val="HeaderChar"/>
    <w:uiPriority w:val="99"/>
    <w:unhideWhenUsed/>
    <w:rsid w:val="008E72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24E"/>
  </w:style>
  <w:style w:type="paragraph" w:styleId="Footer">
    <w:name w:val="footer"/>
    <w:basedOn w:val="Normal"/>
    <w:link w:val="FooterChar"/>
    <w:uiPriority w:val="99"/>
    <w:unhideWhenUsed/>
    <w:rsid w:val="008E72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493</Words>
  <Characters>3284</Characters>
  <Application>Microsoft Office Word</Application>
  <DocSecurity>0</DocSecurity>
  <Lines>56</Lines>
  <Paragraphs>30</Paragraphs>
  <ScaleCrop>false</ScaleCrop>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Smith</dc:creator>
  <cp:keywords/>
  <dc:description/>
  <cp:lastModifiedBy>John Smith</cp:lastModifiedBy>
  <cp:revision>1</cp:revision>
  <dcterms:created xsi:type="dcterms:W3CDTF">2026-08-19T10:32:00Z</dcterms:created>
  <dcterms:modified xsi:type="dcterms:W3CDTF">2026-08-19T10:34:00Z</dcterms:modified>
</cp:coreProperties>
</file>