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7DE35" w14:textId="77777777" w:rsidR="00E96EDE" w:rsidRPr="00E96EDE" w:rsidRDefault="00E96EDE" w:rsidP="00E96EDE">
      <w:pPr>
        <w:pStyle w:val="Title"/>
        <w:spacing w:line="360" w:lineRule="auto"/>
        <w:jc w:val="both"/>
        <w:rPr>
          <w:rFonts w:ascii="Times New Roman" w:hAnsi="Times New Roman" w:cs="Times New Roman"/>
          <w:kern w:val="0"/>
          <w:sz w:val="22"/>
          <w:szCs w:val="22"/>
          <w14:ligatures w14:val="none"/>
        </w:rPr>
      </w:pPr>
      <w:r w:rsidRPr="00E96EDE">
        <w:rPr>
          <w:rFonts w:ascii="Times New Roman" w:hAnsi="Times New Roman" w:cs="Times New Roman"/>
          <w:sz w:val="22"/>
          <w:szCs w:val="22"/>
        </w:rPr>
        <w:t>Case Study: Historic Murder Conviction Review and Fresh Evidence Investigation</w:t>
      </w:r>
    </w:p>
    <w:p w14:paraId="46C47B6F" w14:textId="77777777" w:rsidR="00E96EDE" w:rsidRPr="00E96EDE" w:rsidRDefault="00E96EDE" w:rsidP="00E96EDE">
      <w:pPr>
        <w:pStyle w:val="Subtitle"/>
        <w:spacing w:line="360" w:lineRule="auto"/>
        <w:jc w:val="both"/>
        <w:rPr>
          <w:rFonts w:ascii="Times New Roman" w:hAnsi="Times New Roman" w:cs="Times New Roman"/>
          <w:sz w:val="22"/>
          <w:szCs w:val="22"/>
        </w:rPr>
      </w:pPr>
      <w:r w:rsidRPr="00E96EDE">
        <w:rPr>
          <w:rFonts w:ascii="Times New Roman" w:hAnsi="Times New Roman" w:cs="Times New Roman"/>
          <w:sz w:val="22"/>
          <w:szCs w:val="22"/>
        </w:rPr>
        <w:t>Paginated Document</w:t>
      </w:r>
    </w:p>
    <w:p w14:paraId="7AC0258A" w14:textId="7D3FB732" w:rsidR="00E96EDE" w:rsidRPr="00E96EDE" w:rsidRDefault="00E96EDE" w:rsidP="00E96EDE">
      <w:pPr>
        <w:pStyle w:val="Heading1"/>
        <w:spacing w:line="360" w:lineRule="auto"/>
        <w:jc w:val="both"/>
        <w:rPr>
          <w:rFonts w:ascii="Times New Roman" w:eastAsia="Times New Roman" w:hAnsi="Times New Roman" w:cs="Times New Roman"/>
          <w:sz w:val="22"/>
          <w:szCs w:val="22"/>
        </w:rPr>
      </w:pPr>
      <w:r w:rsidRPr="00E96EDE">
        <w:rPr>
          <w:rFonts w:ascii="Times New Roman" w:eastAsia="Times New Roman" w:hAnsi="Times New Roman" w:cs="Times New Roman"/>
          <w:sz w:val="22"/>
          <w:szCs w:val="22"/>
        </w:rPr>
        <w:t>Introduction</w:t>
      </w:r>
    </w:p>
    <w:p w14:paraId="386D25A1" w14:textId="77777777" w:rsidR="00E96EDE" w:rsidRPr="00E96EDE" w:rsidRDefault="00E96EDE" w:rsidP="00E96EDE">
      <w:pPr>
        <w:spacing w:line="360" w:lineRule="auto"/>
        <w:jc w:val="both"/>
        <w:rPr>
          <w:rFonts w:ascii="Times New Roman" w:eastAsiaTheme="minorEastAsia" w:hAnsi="Times New Roman" w:cs="Times New Roman"/>
          <w:sz w:val="22"/>
          <w:szCs w:val="22"/>
        </w:rPr>
      </w:pPr>
      <w:r w:rsidRPr="00E96EDE">
        <w:rPr>
          <w:rFonts w:ascii="Times New Roman" w:hAnsi="Times New Roman" w:cs="Times New Roman"/>
          <w:sz w:val="22"/>
          <w:szCs w:val="22"/>
        </w:rPr>
        <w:t xml:space="preserve">This case study examines a critical review of a historic murder conviction, focusing on the emergence of fresh evidence and its impact on the original prosecution narrative. Our </w:t>
      </w:r>
      <w:proofErr w:type="gramStart"/>
      <w:r w:rsidRPr="00E96EDE">
        <w:rPr>
          <w:rFonts w:ascii="Times New Roman" w:hAnsi="Times New Roman" w:cs="Times New Roman"/>
          <w:sz w:val="22"/>
          <w:szCs w:val="22"/>
        </w:rPr>
        <w:t>Client</w:t>
      </w:r>
      <w:proofErr w:type="gramEnd"/>
      <w:r w:rsidRPr="00E96EDE">
        <w:rPr>
          <w:rFonts w:ascii="Times New Roman" w:hAnsi="Times New Roman" w:cs="Times New Roman"/>
          <w:sz w:val="22"/>
          <w:szCs w:val="22"/>
        </w:rPr>
        <w:t>, convicted of a serious criminal offence following a fatal incident in Essex, was serving a life sentence. The Respondent, a public authority, was responsible for reviewing potential miscarriages of justice and determining whether cases warranted referral to the Court of Appeal.</w:t>
      </w:r>
    </w:p>
    <w:p w14:paraId="4E496D20" w14:textId="6B99903F" w:rsidR="00E96EDE" w:rsidRPr="00E96EDE" w:rsidRDefault="00E96EDE" w:rsidP="00E96EDE">
      <w:pPr>
        <w:pStyle w:val="Heading2"/>
        <w:spacing w:line="360" w:lineRule="auto"/>
        <w:jc w:val="both"/>
        <w:rPr>
          <w:rFonts w:ascii="Times New Roman" w:eastAsia="Times New Roman" w:hAnsi="Times New Roman" w:cs="Times New Roman"/>
          <w:sz w:val="22"/>
          <w:szCs w:val="22"/>
        </w:rPr>
      </w:pPr>
      <w:r w:rsidRPr="00E96EDE">
        <w:rPr>
          <w:rFonts w:ascii="Times New Roman" w:eastAsia="Times New Roman" w:hAnsi="Times New Roman" w:cs="Times New Roman"/>
          <w:sz w:val="22"/>
          <w:szCs w:val="22"/>
        </w:rPr>
        <w:t>Background and Initial Concerns</w:t>
      </w:r>
    </w:p>
    <w:p w14:paraId="71EC4415" w14:textId="77777777" w:rsidR="00E96EDE" w:rsidRPr="00E96EDE" w:rsidRDefault="00E96EDE" w:rsidP="00E96EDE">
      <w:pPr>
        <w:spacing w:line="360" w:lineRule="auto"/>
        <w:jc w:val="both"/>
        <w:rPr>
          <w:rFonts w:ascii="Times New Roman" w:eastAsiaTheme="minorEastAsia" w:hAnsi="Times New Roman" w:cs="Times New Roman"/>
          <w:sz w:val="22"/>
          <w:szCs w:val="22"/>
        </w:rPr>
      </w:pPr>
      <w:r w:rsidRPr="00E96EDE">
        <w:rPr>
          <w:rFonts w:ascii="Times New Roman" w:hAnsi="Times New Roman" w:cs="Times New Roman"/>
          <w:sz w:val="22"/>
          <w:szCs w:val="22"/>
        </w:rPr>
        <w:t xml:space="preserve">Our </w:t>
      </w:r>
      <w:proofErr w:type="gramStart"/>
      <w:r w:rsidRPr="00E96EDE">
        <w:rPr>
          <w:rFonts w:ascii="Times New Roman" w:hAnsi="Times New Roman" w:cs="Times New Roman"/>
          <w:sz w:val="22"/>
          <w:szCs w:val="22"/>
        </w:rPr>
        <w:t>Client</w:t>
      </w:r>
      <w:proofErr w:type="gramEnd"/>
      <w:r w:rsidRPr="00E96EDE">
        <w:rPr>
          <w:rFonts w:ascii="Times New Roman" w:hAnsi="Times New Roman" w:cs="Times New Roman"/>
          <w:sz w:val="22"/>
          <w:szCs w:val="22"/>
        </w:rPr>
        <w:t xml:space="preserve"> instructed us to undertake a thorough review of the conviction after significant doubts surfaced regarding the reliability of key prosecution evidence. The prosecution case largely depended on the testimony of two principal witnesses, whose accounts shaped the narrative presented to the jury. We initiated an investigation to scrutinise all facets of the original case.</w:t>
      </w:r>
    </w:p>
    <w:p w14:paraId="0FFCC335" w14:textId="7E53B026" w:rsidR="00E96EDE" w:rsidRPr="00E96EDE" w:rsidRDefault="00E96EDE" w:rsidP="00E96EDE">
      <w:pPr>
        <w:pStyle w:val="Heading2"/>
        <w:spacing w:line="360" w:lineRule="auto"/>
        <w:jc w:val="both"/>
        <w:rPr>
          <w:rFonts w:ascii="Times New Roman" w:eastAsia="Times New Roman" w:hAnsi="Times New Roman" w:cs="Times New Roman"/>
          <w:sz w:val="22"/>
          <w:szCs w:val="22"/>
        </w:rPr>
      </w:pPr>
      <w:r w:rsidRPr="00E96EDE">
        <w:rPr>
          <w:rFonts w:ascii="Times New Roman" w:eastAsia="Times New Roman" w:hAnsi="Times New Roman" w:cs="Times New Roman"/>
          <w:sz w:val="22"/>
          <w:szCs w:val="22"/>
        </w:rPr>
        <w:t>Investigation Process</w:t>
      </w:r>
    </w:p>
    <w:p w14:paraId="6ED9792E" w14:textId="77777777" w:rsidR="00E96EDE" w:rsidRPr="00E96EDE" w:rsidRDefault="00E96EDE" w:rsidP="00E96EDE">
      <w:pPr>
        <w:spacing w:line="360" w:lineRule="auto"/>
        <w:jc w:val="both"/>
        <w:rPr>
          <w:rFonts w:ascii="Times New Roman" w:eastAsiaTheme="minorEastAsia" w:hAnsi="Times New Roman" w:cs="Times New Roman"/>
          <w:sz w:val="22"/>
          <w:szCs w:val="22"/>
        </w:rPr>
      </w:pPr>
      <w:r w:rsidRPr="00E96EDE">
        <w:rPr>
          <w:rFonts w:ascii="Times New Roman" w:hAnsi="Times New Roman" w:cs="Times New Roman"/>
          <w:sz w:val="22"/>
          <w:szCs w:val="22"/>
        </w:rPr>
        <w:t>During the investigation, we collected and analysed a wide array of documentation, including original and subsequent witness statements, police records, published accounts by the senior investigating officer, control-room logs, and issues surrounding disclosure. Fresh witness evidence, previously unexamined in a cumulative context, was also incorporated into our review. This comprehensive approach allowed us to identify several critical areas of concern.</w:t>
      </w:r>
    </w:p>
    <w:p w14:paraId="280ACB01" w14:textId="6125B312" w:rsidR="00E96EDE" w:rsidRPr="00E96EDE" w:rsidRDefault="00E96EDE" w:rsidP="00E96EDE">
      <w:pPr>
        <w:pStyle w:val="Heading2"/>
        <w:spacing w:line="360" w:lineRule="auto"/>
        <w:jc w:val="both"/>
        <w:rPr>
          <w:rFonts w:ascii="Times New Roman" w:eastAsia="Times New Roman" w:hAnsi="Times New Roman" w:cs="Times New Roman"/>
          <w:sz w:val="22"/>
          <w:szCs w:val="22"/>
        </w:rPr>
      </w:pPr>
      <w:r w:rsidRPr="00E96EDE">
        <w:rPr>
          <w:rFonts w:ascii="Times New Roman" w:eastAsia="Times New Roman" w:hAnsi="Times New Roman" w:cs="Times New Roman"/>
          <w:sz w:val="22"/>
          <w:szCs w:val="22"/>
        </w:rPr>
        <w:t>Evidential Concerns</w:t>
      </w:r>
    </w:p>
    <w:p w14:paraId="411AB16A" w14:textId="77777777" w:rsidR="00E96EDE" w:rsidRPr="00E96EDE" w:rsidRDefault="00E96EDE" w:rsidP="00E96EDE">
      <w:pPr>
        <w:spacing w:line="360" w:lineRule="auto"/>
        <w:jc w:val="both"/>
        <w:rPr>
          <w:rFonts w:ascii="Times New Roman" w:eastAsiaTheme="minorEastAsia" w:hAnsi="Times New Roman" w:cs="Times New Roman"/>
          <w:sz w:val="22"/>
          <w:szCs w:val="22"/>
        </w:rPr>
      </w:pPr>
      <w:r w:rsidRPr="00E96EDE">
        <w:rPr>
          <w:rFonts w:ascii="Times New Roman" w:hAnsi="Times New Roman" w:cs="Times New Roman"/>
          <w:sz w:val="22"/>
          <w:szCs w:val="22"/>
        </w:rPr>
        <w:t>Our review highlighted that a key prosecution witness provided a later statement, directly challenging aspects of the prosecution narrative. Another witness alleged inaccuracies and undue influence in the recording of their evidence. Both witnesses independently questioned the reliability and presentation of the evidence linked to the original prosecution. Furthermore, published accounts by the senior investigating officer were materially disputed by a prosecution eyewitness.</w:t>
      </w:r>
    </w:p>
    <w:p w14:paraId="3815175C" w14:textId="77777777" w:rsidR="00E96EDE" w:rsidRPr="00E96EDE" w:rsidRDefault="00E96EDE" w:rsidP="00E96EDE">
      <w:pPr>
        <w:spacing w:line="360" w:lineRule="auto"/>
        <w:jc w:val="both"/>
        <w:rPr>
          <w:rFonts w:ascii="Times New Roman" w:hAnsi="Times New Roman" w:cs="Times New Roman"/>
          <w:sz w:val="22"/>
          <w:szCs w:val="22"/>
        </w:rPr>
      </w:pPr>
      <w:r w:rsidRPr="00E96EDE">
        <w:rPr>
          <w:rFonts w:ascii="Times New Roman" w:hAnsi="Times New Roman" w:cs="Times New Roman"/>
          <w:sz w:val="22"/>
          <w:szCs w:val="22"/>
        </w:rPr>
        <w:t>Evidence also came to light showing both witnesses engaged in voluntary post-conviction communication with Our Client via Facebook Messenger and WhatsApp. These interactions contradicted claims that the witnesses were fearful or unwilling to engage with Our Client. Additional investigation revealed material related to possible road traffic accident involvement, prompting reconsideration of initial emergency-service reporting, which indicated that the incident was originally treated as a road traffic accident.</w:t>
      </w:r>
    </w:p>
    <w:p w14:paraId="1C2DF4D3" w14:textId="4EEFD0AF" w:rsidR="00E96EDE" w:rsidRPr="00E96EDE" w:rsidRDefault="00E96EDE" w:rsidP="00E96EDE">
      <w:pPr>
        <w:pStyle w:val="Heading2"/>
        <w:spacing w:line="360" w:lineRule="auto"/>
        <w:jc w:val="both"/>
        <w:rPr>
          <w:rFonts w:ascii="Times New Roman" w:eastAsia="Times New Roman" w:hAnsi="Times New Roman" w:cs="Times New Roman"/>
          <w:sz w:val="22"/>
          <w:szCs w:val="22"/>
        </w:rPr>
      </w:pPr>
      <w:r w:rsidRPr="00E96EDE">
        <w:rPr>
          <w:rFonts w:ascii="Times New Roman" w:eastAsia="Times New Roman" w:hAnsi="Times New Roman" w:cs="Times New Roman"/>
          <w:sz w:val="22"/>
          <w:szCs w:val="22"/>
        </w:rPr>
        <w:lastRenderedPageBreak/>
        <w:t>Disclosure and Investigation Issues</w:t>
      </w:r>
    </w:p>
    <w:p w14:paraId="2A15F24F" w14:textId="77777777" w:rsidR="00E96EDE" w:rsidRPr="00E96EDE" w:rsidRDefault="00E96EDE" w:rsidP="00E96EDE">
      <w:pPr>
        <w:spacing w:line="360" w:lineRule="auto"/>
        <w:jc w:val="both"/>
        <w:rPr>
          <w:rFonts w:ascii="Times New Roman" w:eastAsiaTheme="minorEastAsia" w:hAnsi="Times New Roman" w:cs="Times New Roman"/>
          <w:sz w:val="22"/>
          <w:szCs w:val="22"/>
        </w:rPr>
      </w:pPr>
      <w:r w:rsidRPr="00E96EDE">
        <w:rPr>
          <w:rFonts w:ascii="Times New Roman" w:hAnsi="Times New Roman" w:cs="Times New Roman"/>
          <w:sz w:val="22"/>
          <w:szCs w:val="22"/>
        </w:rPr>
        <w:t>Significant concerns emerged regarding disclosure, witness handling, evidential continuity, and the adequacy of the original investigation. Our review established that the case contained a unique evidential dilemma: the reliability of the prosecution witnesses' later evidence could potentially undermine substantial parts of the prosecution case, while doubts over the reliability of their earlier evidence raised serious questions about the trial itself. The cumulative effect of these factors demanded renewed scrutiny.</w:t>
      </w:r>
    </w:p>
    <w:p w14:paraId="26FD8842" w14:textId="413FFD93" w:rsidR="00E96EDE" w:rsidRPr="00E96EDE" w:rsidRDefault="00E96EDE" w:rsidP="00E96EDE">
      <w:pPr>
        <w:pStyle w:val="Heading2"/>
        <w:spacing w:line="360" w:lineRule="auto"/>
        <w:jc w:val="both"/>
        <w:rPr>
          <w:rFonts w:ascii="Times New Roman" w:eastAsia="Times New Roman" w:hAnsi="Times New Roman" w:cs="Times New Roman"/>
          <w:sz w:val="22"/>
          <w:szCs w:val="22"/>
        </w:rPr>
      </w:pPr>
      <w:r w:rsidRPr="00E96EDE">
        <w:rPr>
          <w:rFonts w:ascii="Times New Roman" w:eastAsia="Times New Roman" w:hAnsi="Times New Roman" w:cs="Times New Roman"/>
          <w:sz w:val="22"/>
          <w:szCs w:val="22"/>
        </w:rPr>
        <w:t>Fresh Evidence and Overlooked Material</w:t>
      </w:r>
    </w:p>
    <w:p w14:paraId="6761115C" w14:textId="77777777" w:rsidR="00E96EDE" w:rsidRPr="00E96EDE" w:rsidRDefault="00E96EDE" w:rsidP="00E96EDE">
      <w:pPr>
        <w:spacing w:line="360" w:lineRule="auto"/>
        <w:jc w:val="both"/>
        <w:rPr>
          <w:rFonts w:ascii="Times New Roman" w:eastAsiaTheme="minorEastAsia" w:hAnsi="Times New Roman" w:cs="Times New Roman"/>
          <w:sz w:val="22"/>
          <w:szCs w:val="22"/>
        </w:rPr>
      </w:pPr>
      <w:r w:rsidRPr="00E96EDE">
        <w:rPr>
          <w:rFonts w:ascii="Times New Roman" w:hAnsi="Times New Roman" w:cs="Times New Roman"/>
          <w:sz w:val="22"/>
          <w:szCs w:val="22"/>
        </w:rPr>
        <w:t>The investigation brought to light previously overlooked material, including issues relating to witness credibility and independence, voluntary communications between witnesses and Our Client, alternative explanations for key events, investigative decision-making, disclosure obligations, and the overall safety of the conviction. These findings were crucial in reconstructing the case and assessing it against contemporary evidential standards.</w:t>
      </w:r>
    </w:p>
    <w:p w14:paraId="11E3D7E8" w14:textId="59F904F4" w:rsidR="00E96EDE" w:rsidRPr="00E96EDE" w:rsidRDefault="00E96EDE" w:rsidP="00E96EDE">
      <w:pPr>
        <w:pStyle w:val="Heading2"/>
        <w:spacing w:line="360" w:lineRule="auto"/>
        <w:jc w:val="both"/>
        <w:rPr>
          <w:rFonts w:ascii="Times New Roman" w:eastAsia="Times New Roman" w:hAnsi="Times New Roman" w:cs="Times New Roman"/>
          <w:sz w:val="22"/>
          <w:szCs w:val="22"/>
        </w:rPr>
      </w:pPr>
      <w:r w:rsidRPr="00E96EDE">
        <w:rPr>
          <w:rFonts w:ascii="Times New Roman" w:eastAsia="Times New Roman" w:hAnsi="Times New Roman" w:cs="Times New Roman"/>
          <w:sz w:val="22"/>
          <w:szCs w:val="22"/>
        </w:rPr>
        <w:t>Outcome and Benefit to Our Client</w:t>
      </w:r>
    </w:p>
    <w:p w14:paraId="6CDE9ED1" w14:textId="77777777" w:rsidR="00E96EDE" w:rsidRPr="00E96EDE" w:rsidRDefault="00E96EDE" w:rsidP="00E96EDE">
      <w:pPr>
        <w:spacing w:line="360" w:lineRule="auto"/>
        <w:jc w:val="both"/>
        <w:rPr>
          <w:rFonts w:ascii="Times New Roman" w:eastAsiaTheme="minorEastAsia" w:hAnsi="Times New Roman" w:cs="Times New Roman"/>
          <w:sz w:val="22"/>
          <w:szCs w:val="22"/>
        </w:rPr>
      </w:pPr>
      <w:r w:rsidRPr="00E96EDE">
        <w:rPr>
          <w:rFonts w:ascii="Times New Roman" w:hAnsi="Times New Roman" w:cs="Times New Roman"/>
          <w:sz w:val="22"/>
          <w:szCs w:val="22"/>
        </w:rPr>
        <w:t>Our comprehensive review enabled us to identify fresh evidence, inconsistencies, disclosure concerns, and previously unexplored lines of enquiry. By consolidating various strands of evidence, we presented a robust case for reconsideration of the conviction. The investigation significantly strengthened Our Client's position by:</w:t>
      </w:r>
    </w:p>
    <w:p w14:paraId="337FB954" w14:textId="77777777" w:rsidR="00E96EDE" w:rsidRPr="00E96EDE" w:rsidRDefault="00E96EDE" w:rsidP="00E96EDE">
      <w:pPr>
        <w:numPr>
          <w:ilvl w:val="0"/>
          <w:numId w:val="8"/>
        </w:numPr>
        <w:spacing w:line="360" w:lineRule="auto"/>
        <w:jc w:val="both"/>
        <w:rPr>
          <w:rFonts w:ascii="Times New Roman" w:eastAsia="Times New Roman" w:hAnsi="Times New Roman" w:cs="Times New Roman"/>
          <w:sz w:val="22"/>
          <w:szCs w:val="22"/>
        </w:rPr>
      </w:pPr>
      <w:r w:rsidRPr="00E96EDE">
        <w:rPr>
          <w:rFonts w:ascii="Times New Roman" w:eastAsia="Times New Roman" w:hAnsi="Times New Roman" w:cs="Times New Roman"/>
          <w:sz w:val="22"/>
          <w:szCs w:val="22"/>
        </w:rPr>
        <w:t>Combining multiple evidential strands into a coherent ground of challenge</w:t>
      </w:r>
    </w:p>
    <w:p w14:paraId="45F599AA" w14:textId="77777777" w:rsidR="00E96EDE" w:rsidRPr="00E96EDE" w:rsidRDefault="00E96EDE" w:rsidP="00E96EDE">
      <w:pPr>
        <w:numPr>
          <w:ilvl w:val="0"/>
          <w:numId w:val="8"/>
        </w:numPr>
        <w:spacing w:line="360" w:lineRule="auto"/>
        <w:jc w:val="both"/>
        <w:rPr>
          <w:rFonts w:ascii="Times New Roman" w:eastAsia="Times New Roman" w:hAnsi="Times New Roman" w:cs="Times New Roman"/>
          <w:sz w:val="22"/>
          <w:szCs w:val="22"/>
        </w:rPr>
      </w:pPr>
      <w:r w:rsidRPr="00E96EDE">
        <w:rPr>
          <w:rFonts w:ascii="Times New Roman" w:eastAsia="Times New Roman" w:hAnsi="Times New Roman" w:cs="Times New Roman"/>
          <w:sz w:val="22"/>
          <w:szCs w:val="22"/>
        </w:rPr>
        <w:t>Identifying new witness evidence capable of affecting the safety of the conviction</w:t>
      </w:r>
    </w:p>
    <w:p w14:paraId="7A14F9E7" w14:textId="77777777" w:rsidR="00E96EDE" w:rsidRPr="00E96EDE" w:rsidRDefault="00E96EDE" w:rsidP="00E96EDE">
      <w:pPr>
        <w:numPr>
          <w:ilvl w:val="0"/>
          <w:numId w:val="8"/>
        </w:numPr>
        <w:spacing w:line="360" w:lineRule="auto"/>
        <w:jc w:val="both"/>
        <w:rPr>
          <w:rFonts w:ascii="Times New Roman" w:eastAsia="Times New Roman" w:hAnsi="Times New Roman" w:cs="Times New Roman"/>
          <w:sz w:val="22"/>
          <w:szCs w:val="22"/>
        </w:rPr>
      </w:pPr>
      <w:r w:rsidRPr="00E96EDE">
        <w:rPr>
          <w:rFonts w:ascii="Times New Roman" w:eastAsia="Times New Roman" w:hAnsi="Times New Roman" w:cs="Times New Roman"/>
          <w:sz w:val="22"/>
          <w:szCs w:val="22"/>
        </w:rPr>
        <w:t>Challenging long-standing untested assumptions</w:t>
      </w:r>
    </w:p>
    <w:p w14:paraId="11C40962" w14:textId="77777777" w:rsidR="00E96EDE" w:rsidRPr="00E96EDE" w:rsidRDefault="00E96EDE" w:rsidP="00E96EDE">
      <w:pPr>
        <w:numPr>
          <w:ilvl w:val="0"/>
          <w:numId w:val="8"/>
        </w:numPr>
        <w:spacing w:line="360" w:lineRule="auto"/>
        <w:jc w:val="both"/>
        <w:rPr>
          <w:rFonts w:ascii="Times New Roman" w:eastAsia="Times New Roman" w:hAnsi="Times New Roman" w:cs="Times New Roman"/>
          <w:sz w:val="22"/>
          <w:szCs w:val="22"/>
        </w:rPr>
      </w:pPr>
      <w:r w:rsidRPr="00E96EDE">
        <w:rPr>
          <w:rFonts w:ascii="Times New Roman" w:eastAsia="Times New Roman" w:hAnsi="Times New Roman" w:cs="Times New Roman"/>
          <w:sz w:val="22"/>
          <w:szCs w:val="22"/>
        </w:rPr>
        <w:t>Producing a structured evidential review supported by documentary exhibits</w:t>
      </w:r>
    </w:p>
    <w:p w14:paraId="28A8AED3" w14:textId="77777777" w:rsidR="00E96EDE" w:rsidRPr="00E96EDE" w:rsidRDefault="00E96EDE" w:rsidP="00E96EDE">
      <w:pPr>
        <w:numPr>
          <w:ilvl w:val="0"/>
          <w:numId w:val="8"/>
        </w:numPr>
        <w:spacing w:line="360" w:lineRule="auto"/>
        <w:jc w:val="both"/>
        <w:rPr>
          <w:rFonts w:ascii="Times New Roman" w:eastAsia="Times New Roman" w:hAnsi="Times New Roman" w:cs="Times New Roman"/>
          <w:sz w:val="22"/>
          <w:szCs w:val="22"/>
        </w:rPr>
      </w:pPr>
      <w:r w:rsidRPr="00E96EDE">
        <w:rPr>
          <w:rFonts w:ascii="Times New Roman" w:eastAsia="Times New Roman" w:hAnsi="Times New Roman" w:cs="Times New Roman"/>
          <w:sz w:val="22"/>
          <w:szCs w:val="22"/>
        </w:rPr>
        <w:t>Highlighting potential disclosure failures and investigatory shortcomings</w:t>
      </w:r>
    </w:p>
    <w:p w14:paraId="6A478D4C" w14:textId="77777777" w:rsidR="00E96EDE" w:rsidRPr="00E96EDE" w:rsidRDefault="00E96EDE" w:rsidP="00E96EDE">
      <w:pPr>
        <w:numPr>
          <w:ilvl w:val="0"/>
          <w:numId w:val="8"/>
        </w:numPr>
        <w:spacing w:line="360" w:lineRule="auto"/>
        <w:jc w:val="both"/>
        <w:rPr>
          <w:rFonts w:ascii="Times New Roman" w:eastAsia="Times New Roman" w:hAnsi="Times New Roman" w:cs="Times New Roman"/>
          <w:sz w:val="22"/>
          <w:szCs w:val="22"/>
        </w:rPr>
      </w:pPr>
      <w:r w:rsidRPr="00E96EDE">
        <w:rPr>
          <w:rFonts w:ascii="Times New Roman" w:eastAsia="Times New Roman" w:hAnsi="Times New Roman" w:cs="Times New Roman"/>
          <w:sz w:val="22"/>
          <w:szCs w:val="22"/>
        </w:rPr>
        <w:t>Identifying material supporting referral back to the appellate courts</w:t>
      </w:r>
    </w:p>
    <w:p w14:paraId="560482BC" w14:textId="5E9374E9" w:rsidR="00E96EDE" w:rsidRPr="00E96EDE" w:rsidRDefault="00E96EDE" w:rsidP="00E96EDE">
      <w:pPr>
        <w:pStyle w:val="Heading2"/>
        <w:spacing w:line="360" w:lineRule="auto"/>
        <w:jc w:val="both"/>
        <w:rPr>
          <w:rFonts w:ascii="Times New Roman" w:eastAsia="Times New Roman" w:hAnsi="Times New Roman" w:cs="Times New Roman"/>
          <w:sz w:val="22"/>
          <w:szCs w:val="22"/>
        </w:rPr>
      </w:pPr>
      <w:r w:rsidRPr="00E96EDE">
        <w:rPr>
          <w:rFonts w:ascii="Times New Roman" w:eastAsia="Times New Roman" w:hAnsi="Times New Roman" w:cs="Times New Roman"/>
          <w:sz w:val="22"/>
          <w:szCs w:val="22"/>
        </w:rPr>
        <w:t>Conclusion</w:t>
      </w:r>
    </w:p>
    <w:p w14:paraId="0618563E" w14:textId="77777777" w:rsidR="00E96EDE" w:rsidRPr="00E96EDE" w:rsidRDefault="00E96EDE" w:rsidP="00E96EDE">
      <w:pPr>
        <w:spacing w:line="360" w:lineRule="auto"/>
        <w:jc w:val="both"/>
        <w:rPr>
          <w:rFonts w:ascii="Times New Roman" w:eastAsiaTheme="minorEastAsia" w:hAnsi="Times New Roman" w:cs="Times New Roman"/>
          <w:sz w:val="22"/>
          <w:szCs w:val="22"/>
        </w:rPr>
      </w:pPr>
      <w:r w:rsidRPr="00E96EDE">
        <w:rPr>
          <w:rFonts w:ascii="Times New Roman" w:hAnsi="Times New Roman" w:cs="Times New Roman"/>
          <w:sz w:val="22"/>
          <w:szCs w:val="22"/>
        </w:rPr>
        <w:t>This case study demonstrates the critical importance of detailed post-conviction investigation. Renewed scrutiny of witness evidence, disclosure material, contemporaneous records, and fresh evidence can expose significant concerns regarding the safety of a conviction, even many years after trial. The process exemplifies how a methodical and modern evidential review can uncover grounds for challenging and potentially overturning historic convictions.</w:t>
      </w:r>
    </w:p>
    <w:sectPr w:rsidR="00E96EDE" w:rsidRPr="00E96ED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55923" w14:textId="77777777" w:rsidR="00966C39" w:rsidRDefault="00966C39" w:rsidP="000F42BB">
      <w:pPr>
        <w:spacing w:after="0" w:line="240" w:lineRule="auto"/>
      </w:pPr>
      <w:r>
        <w:separator/>
      </w:r>
    </w:p>
  </w:endnote>
  <w:endnote w:type="continuationSeparator" w:id="0">
    <w:p w14:paraId="0694083F" w14:textId="77777777" w:rsidR="00966C39" w:rsidRDefault="00966C39" w:rsidP="000F4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5854D" w14:textId="77777777" w:rsidR="000F42BB" w:rsidRDefault="000F42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38792" w14:textId="77777777" w:rsidR="000F42BB" w:rsidRDefault="000F42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44B27" w14:textId="77777777" w:rsidR="000F42BB" w:rsidRDefault="000F42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80851" w14:textId="77777777" w:rsidR="00966C39" w:rsidRDefault="00966C39" w:rsidP="000F42BB">
      <w:pPr>
        <w:spacing w:after="0" w:line="240" w:lineRule="auto"/>
      </w:pPr>
      <w:r>
        <w:separator/>
      </w:r>
    </w:p>
  </w:footnote>
  <w:footnote w:type="continuationSeparator" w:id="0">
    <w:p w14:paraId="1CA705BE" w14:textId="77777777" w:rsidR="00966C39" w:rsidRDefault="00966C39" w:rsidP="000F42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CAC35" w14:textId="0A51690A" w:rsidR="000F42BB" w:rsidRDefault="000F42BB">
    <w:pPr>
      <w:pStyle w:val="Header"/>
    </w:pPr>
    <w:r>
      <w:rPr>
        <w:noProof/>
      </w:rPr>
      <w:pict w14:anchorId="70374B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7085344" o:spid="_x0000_s1026" type="#_x0000_t75" style="position:absolute;margin-left:0;margin-top:0;width:451.15pt;height:609.15pt;z-index:-251657216;mso-position-horizontal:center;mso-position-horizontal-relative:margin;mso-position-vertical:center;mso-position-vertical-relative:margin" o:allowincell="f">
          <v:imagedata r:id="rId1" o:title="JUSTICE ON APPEAL LOGO 1"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F8202" w14:textId="144D9217" w:rsidR="000F42BB" w:rsidRDefault="000F42BB">
    <w:pPr>
      <w:pStyle w:val="Header"/>
    </w:pPr>
    <w:r>
      <w:rPr>
        <w:noProof/>
      </w:rPr>
      <w:pict w14:anchorId="7EEA41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7085345" o:spid="_x0000_s1027" type="#_x0000_t75" style="position:absolute;margin-left:0;margin-top:0;width:451.15pt;height:609.15pt;z-index:-251656192;mso-position-horizontal:center;mso-position-horizontal-relative:margin;mso-position-vertical:center;mso-position-vertical-relative:margin" o:allowincell="f">
          <v:imagedata r:id="rId1" o:title="JUSTICE ON APPEAL LOGO 1"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AE9BB" w14:textId="6E23E910" w:rsidR="000F42BB" w:rsidRDefault="000F42BB">
    <w:pPr>
      <w:pStyle w:val="Header"/>
    </w:pPr>
    <w:r>
      <w:rPr>
        <w:noProof/>
      </w:rPr>
      <w:pict w14:anchorId="72B0F9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7085343" o:spid="_x0000_s1025" type="#_x0000_t75" style="position:absolute;margin-left:0;margin-top:0;width:451.15pt;height:609.15pt;z-index:-251658240;mso-position-horizontal:center;mso-position-horizontal-relative:margin;mso-position-vertical:center;mso-position-vertical-relative:margin" o:allowincell="f">
          <v:imagedata r:id="rId1" o:title="JUSTICE ON APPEAL LOGO 1"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C70D2"/>
    <w:multiLevelType w:val="multilevel"/>
    <w:tmpl w:val="DA28C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A578B5"/>
    <w:multiLevelType w:val="multilevel"/>
    <w:tmpl w:val="0A442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7B798E"/>
    <w:multiLevelType w:val="multilevel"/>
    <w:tmpl w:val="4448F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AD09E3"/>
    <w:multiLevelType w:val="multilevel"/>
    <w:tmpl w:val="EF009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5E7535"/>
    <w:multiLevelType w:val="multilevel"/>
    <w:tmpl w:val="99D04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015B84"/>
    <w:multiLevelType w:val="multilevel"/>
    <w:tmpl w:val="1D1E4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6E0889"/>
    <w:multiLevelType w:val="multilevel"/>
    <w:tmpl w:val="283A8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6802C0"/>
    <w:multiLevelType w:val="multilevel"/>
    <w:tmpl w:val="74902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9478712">
    <w:abstractNumId w:val="7"/>
  </w:num>
  <w:num w:numId="2" w16cid:durableId="352614730">
    <w:abstractNumId w:val="3"/>
  </w:num>
  <w:num w:numId="3" w16cid:durableId="559168744">
    <w:abstractNumId w:val="5"/>
  </w:num>
  <w:num w:numId="4" w16cid:durableId="1584678232">
    <w:abstractNumId w:val="6"/>
  </w:num>
  <w:num w:numId="5" w16cid:durableId="1644920750">
    <w:abstractNumId w:val="4"/>
  </w:num>
  <w:num w:numId="6" w16cid:durableId="1166240989">
    <w:abstractNumId w:val="0"/>
  </w:num>
  <w:num w:numId="7" w16cid:durableId="662858026">
    <w:abstractNumId w:val="2"/>
  </w:num>
  <w:num w:numId="8" w16cid:durableId="14588324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EDE"/>
    <w:rsid w:val="000F42BB"/>
    <w:rsid w:val="003A23C4"/>
    <w:rsid w:val="005015E0"/>
    <w:rsid w:val="00517DA1"/>
    <w:rsid w:val="00966C39"/>
    <w:rsid w:val="00C46FF2"/>
    <w:rsid w:val="00C574B7"/>
    <w:rsid w:val="00E96E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EF169"/>
  <w15:chartTrackingRefBased/>
  <w15:docId w15:val="{AF72C468-4A93-4D24-8B4A-21FA89558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6E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96E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6E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6E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6E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6E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6E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6E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6E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E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6E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6E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6E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6E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6E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6E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6E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6EDE"/>
    <w:rPr>
      <w:rFonts w:eastAsiaTheme="majorEastAsia" w:cstheme="majorBidi"/>
      <w:color w:val="272727" w:themeColor="text1" w:themeTint="D8"/>
    </w:rPr>
  </w:style>
  <w:style w:type="paragraph" w:styleId="Title">
    <w:name w:val="Title"/>
    <w:basedOn w:val="Normal"/>
    <w:next w:val="Normal"/>
    <w:link w:val="TitleChar"/>
    <w:uiPriority w:val="10"/>
    <w:qFormat/>
    <w:rsid w:val="00E96E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6E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6E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6E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6EDE"/>
    <w:pPr>
      <w:spacing w:before="160"/>
      <w:jc w:val="center"/>
    </w:pPr>
    <w:rPr>
      <w:i/>
      <w:iCs/>
      <w:color w:val="404040" w:themeColor="text1" w:themeTint="BF"/>
    </w:rPr>
  </w:style>
  <w:style w:type="character" w:customStyle="1" w:styleId="QuoteChar">
    <w:name w:val="Quote Char"/>
    <w:basedOn w:val="DefaultParagraphFont"/>
    <w:link w:val="Quote"/>
    <w:uiPriority w:val="29"/>
    <w:rsid w:val="00E96EDE"/>
    <w:rPr>
      <w:i/>
      <w:iCs/>
      <w:color w:val="404040" w:themeColor="text1" w:themeTint="BF"/>
    </w:rPr>
  </w:style>
  <w:style w:type="paragraph" w:styleId="ListParagraph">
    <w:name w:val="List Paragraph"/>
    <w:basedOn w:val="Normal"/>
    <w:uiPriority w:val="34"/>
    <w:qFormat/>
    <w:rsid w:val="00E96EDE"/>
    <w:pPr>
      <w:ind w:left="720"/>
      <w:contextualSpacing/>
    </w:pPr>
  </w:style>
  <w:style w:type="character" w:styleId="IntenseEmphasis">
    <w:name w:val="Intense Emphasis"/>
    <w:basedOn w:val="DefaultParagraphFont"/>
    <w:uiPriority w:val="21"/>
    <w:qFormat/>
    <w:rsid w:val="00E96EDE"/>
    <w:rPr>
      <w:i/>
      <w:iCs/>
      <w:color w:val="0F4761" w:themeColor="accent1" w:themeShade="BF"/>
    </w:rPr>
  </w:style>
  <w:style w:type="paragraph" w:styleId="IntenseQuote">
    <w:name w:val="Intense Quote"/>
    <w:basedOn w:val="Normal"/>
    <w:next w:val="Normal"/>
    <w:link w:val="IntenseQuoteChar"/>
    <w:uiPriority w:val="30"/>
    <w:qFormat/>
    <w:rsid w:val="00E96E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6EDE"/>
    <w:rPr>
      <w:i/>
      <w:iCs/>
      <w:color w:val="0F4761" w:themeColor="accent1" w:themeShade="BF"/>
    </w:rPr>
  </w:style>
  <w:style w:type="character" w:styleId="IntenseReference">
    <w:name w:val="Intense Reference"/>
    <w:basedOn w:val="DefaultParagraphFont"/>
    <w:uiPriority w:val="32"/>
    <w:qFormat/>
    <w:rsid w:val="00E96EDE"/>
    <w:rPr>
      <w:b/>
      <w:bCs/>
      <w:smallCaps/>
      <w:color w:val="0F4761" w:themeColor="accent1" w:themeShade="BF"/>
      <w:spacing w:val="5"/>
    </w:rPr>
  </w:style>
  <w:style w:type="paragraph" w:styleId="Header">
    <w:name w:val="header"/>
    <w:basedOn w:val="Normal"/>
    <w:link w:val="HeaderChar"/>
    <w:uiPriority w:val="99"/>
    <w:unhideWhenUsed/>
    <w:rsid w:val="000F42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42BB"/>
  </w:style>
  <w:style w:type="paragraph" w:styleId="Footer">
    <w:name w:val="footer"/>
    <w:basedOn w:val="Normal"/>
    <w:link w:val="FooterChar"/>
    <w:uiPriority w:val="99"/>
    <w:unhideWhenUsed/>
    <w:rsid w:val="000F42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42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698</Words>
  <Characters>4084</Characters>
  <Application>Microsoft Office Word</Application>
  <DocSecurity>0</DocSecurity>
  <Lines>85</Lines>
  <Paragraphs>44</Paragraphs>
  <ScaleCrop>false</ScaleCrop>
  <Company/>
  <LinksUpToDate>false</LinksUpToDate>
  <CharactersWithSpaces>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Smith</dc:creator>
  <cp:keywords/>
  <dc:description/>
  <cp:lastModifiedBy>John Smith</cp:lastModifiedBy>
  <cp:revision>2</cp:revision>
  <dcterms:created xsi:type="dcterms:W3CDTF">2026-08-19T10:00:00Z</dcterms:created>
  <dcterms:modified xsi:type="dcterms:W3CDTF">2026-08-19T10:02:00Z</dcterms:modified>
</cp:coreProperties>
</file>