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439C7" w14:textId="77777777" w:rsidR="004F779D" w:rsidRPr="004F779D" w:rsidRDefault="004F779D" w:rsidP="004F779D">
      <w:pPr>
        <w:pStyle w:val="Title"/>
        <w:spacing w:line="360" w:lineRule="auto"/>
        <w:jc w:val="both"/>
        <w:rPr>
          <w:rFonts w:ascii="Times New Roman" w:hAnsi="Times New Roman" w:cs="Times New Roman"/>
          <w:kern w:val="0"/>
          <w:sz w:val="22"/>
          <w:szCs w:val="22"/>
          <w14:ligatures w14:val="none"/>
        </w:rPr>
      </w:pPr>
      <w:r w:rsidRPr="004F779D">
        <w:rPr>
          <w:rFonts w:ascii="Times New Roman" w:hAnsi="Times New Roman" w:cs="Times New Roman"/>
          <w:sz w:val="22"/>
          <w:szCs w:val="22"/>
        </w:rPr>
        <w:t>Case Study: Breach of Confidentiality and Accountability in a Professional Advisory Relationship</w:t>
      </w:r>
    </w:p>
    <w:p w14:paraId="29894D0E" w14:textId="77777777" w:rsidR="004F779D" w:rsidRPr="004F779D" w:rsidRDefault="004F779D" w:rsidP="004F779D">
      <w:pPr>
        <w:pStyle w:val="Subtitle"/>
        <w:spacing w:line="360" w:lineRule="auto"/>
        <w:jc w:val="both"/>
        <w:rPr>
          <w:rFonts w:ascii="Times New Roman" w:hAnsi="Times New Roman" w:cs="Times New Roman"/>
          <w:sz w:val="22"/>
          <w:szCs w:val="22"/>
        </w:rPr>
      </w:pPr>
      <w:r w:rsidRPr="004F779D">
        <w:rPr>
          <w:rFonts w:ascii="Times New Roman" w:hAnsi="Times New Roman" w:cs="Times New Roman"/>
          <w:sz w:val="22"/>
          <w:szCs w:val="22"/>
        </w:rPr>
        <w:t>Paginated Review of Client Experience and Outcomes</w:t>
      </w:r>
    </w:p>
    <w:p w14:paraId="135DC9B0" w14:textId="77777777" w:rsidR="004F779D" w:rsidRPr="004F779D" w:rsidRDefault="004F779D" w:rsidP="004F779D">
      <w:pPr>
        <w:pStyle w:val="Heading1"/>
        <w:spacing w:line="360" w:lineRule="auto"/>
        <w:jc w:val="both"/>
        <w:rPr>
          <w:rFonts w:ascii="Times New Roman" w:eastAsia="Times New Roman" w:hAnsi="Times New Roman" w:cs="Times New Roman"/>
          <w:sz w:val="22"/>
          <w:szCs w:val="22"/>
        </w:rPr>
      </w:pPr>
      <w:r w:rsidRPr="004F779D">
        <w:rPr>
          <w:rFonts w:ascii="Times New Roman" w:eastAsia="Times New Roman" w:hAnsi="Times New Roman" w:cs="Times New Roman"/>
          <w:sz w:val="22"/>
          <w:szCs w:val="22"/>
        </w:rPr>
        <w:t>Overview</w:t>
      </w:r>
    </w:p>
    <w:p w14:paraId="100F0FE0" w14:textId="77777777" w:rsidR="004F779D" w:rsidRPr="004F779D" w:rsidRDefault="004F779D" w:rsidP="004F779D">
      <w:pPr>
        <w:spacing w:line="360" w:lineRule="auto"/>
        <w:jc w:val="both"/>
        <w:rPr>
          <w:rFonts w:ascii="Times New Roman" w:eastAsiaTheme="minorEastAsia" w:hAnsi="Times New Roman" w:cs="Times New Roman"/>
          <w:sz w:val="22"/>
          <w:szCs w:val="22"/>
        </w:rPr>
      </w:pPr>
      <w:r w:rsidRPr="004F779D">
        <w:rPr>
          <w:rFonts w:ascii="Times New Roman" w:hAnsi="Times New Roman" w:cs="Times New Roman"/>
          <w:sz w:val="22"/>
          <w:szCs w:val="22"/>
        </w:rPr>
        <w:t xml:space="preserve">Our client engaged the respondent, an independent financial and business consultant, to assist with the preparation of financial loss assessments, business analyses, and supporting documentation in relation to a substantial legal claim. To govern this engagement, both parties </w:t>
      </w:r>
      <w:proofErr w:type="gramStart"/>
      <w:r w:rsidRPr="004F779D">
        <w:rPr>
          <w:rFonts w:ascii="Times New Roman" w:hAnsi="Times New Roman" w:cs="Times New Roman"/>
          <w:sz w:val="22"/>
          <w:szCs w:val="22"/>
        </w:rPr>
        <w:t>entered into</w:t>
      </w:r>
      <w:proofErr w:type="gramEnd"/>
      <w:r w:rsidRPr="004F779D">
        <w:rPr>
          <w:rFonts w:ascii="Times New Roman" w:hAnsi="Times New Roman" w:cs="Times New Roman"/>
          <w:sz w:val="22"/>
          <w:szCs w:val="22"/>
        </w:rPr>
        <w:t xml:space="preserve"> a formal Non-Disclosure and Non-Compete Agreement (NDA), setting out strict confidentiality obligations.</w:t>
      </w:r>
    </w:p>
    <w:p w14:paraId="112836E8" w14:textId="77777777" w:rsidR="004F779D" w:rsidRDefault="004F779D" w:rsidP="004F779D">
      <w:pPr>
        <w:spacing w:line="360" w:lineRule="auto"/>
        <w:jc w:val="both"/>
        <w:rPr>
          <w:rFonts w:ascii="Times New Roman" w:hAnsi="Times New Roman" w:cs="Times New Roman"/>
          <w:sz w:val="22"/>
          <w:szCs w:val="22"/>
        </w:rPr>
      </w:pPr>
      <w:r w:rsidRPr="004F779D">
        <w:rPr>
          <w:rFonts w:ascii="Times New Roman" w:hAnsi="Times New Roman" w:cs="Times New Roman"/>
          <w:sz w:val="22"/>
          <w:szCs w:val="22"/>
        </w:rPr>
        <w:t>Throughout the engagement, the respondent was provided with sensitive business, financial, commercial, legal, and strategic information, all for the explicit purpose of carrying out the agreed work.</w:t>
      </w:r>
    </w:p>
    <w:p w14:paraId="446FD291" w14:textId="68BC0C13" w:rsidR="004F779D" w:rsidRPr="004F779D" w:rsidRDefault="004F779D" w:rsidP="004F779D">
      <w:pPr>
        <w:spacing w:line="360" w:lineRule="auto"/>
        <w:jc w:val="both"/>
        <w:rPr>
          <w:rFonts w:ascii="Times New Roman" w:eastAsia="Times New Roman" w:hAnsi="Times New Roman" w:cs="Times New Roman"/>
          <w:sz w:val="22"/>
          <w:szCs w:val="22"/>
        </w:rPr>
      </w:pPr>
      <w:r w:rsidRPr="004F779D">
        <w:rPr>
          <w:rFonts w:ascii="Times New Roman" w:eastAsia="Times New Roman" w:hAnsi="Times New Roman" w:cs="Times New Roman"/>
          <w:sz w:val="22"/>
          <w:szCs w:val="22"/>
        </w:rPr>
        <w:t>Issues Identified</w:t>
      </w:r>
    </w:p>
    <w:p w14:paraId="10EDCE8F" w14:textId="77777777" w:rsidR="004F779D" w:rsidRPr="004F779D" w:rsidRDefault="004F779D" w:rsidP="004F779D">
      <w:pPr>
        <w:spacing w:line="360" w:lineRule="auto"/>
        <w:jc w:val="both"/>
        <w:rPr>
          <w:rFonts w:ascii="Times New Roman" w:eastAsiaTheme="minorEastAsia" w:hAnsi="Times New Roman" w:cs="Times New Roman"/>
          <w:sz w:val="22"/>
          <w:szCs w:val="22"/>
        </w:rPr>
      </w:pPr>
      <w:r w:rsidRPr="004F779D">
        <w:rPr>
          <w:rFonts w:ascii="Times New Roman" w:hAnsi="Times New Roman" w:cs="Times New Roman"/>
          <w:sz w:val="22"/>
          <w:szCs w:val="22"/>
        </w:rPr>
        <w:t>Concerns came to the fore when the respondent indicated that advice had been sought from an external legal professional about certain matters arising from the engagement. Initially, the respondent refused to identify the individual consulted or give details regarding the information that had been shared.</w:t>
      </w:r>
    </w:p>
    <w:p w14:paraId="0E19FB2D" w14:textId="77777777" w:rsidR="004F779D" w:rsidRPr="004F779D" w:rsidRDefault="004F779D" w:rsidP="004F779D">
      <w:pPr>
        <w:spacing w:line="360" w:lineRule="auto"/>
        <w:jc w:val="both"/>
        <w:rPr>
          <w:rFonts w:ascii="Times New Roman" w:hAnsi="Times New Roman" w:cs="Times New Roman"/>
          <w:sz w:val="22"/>
          <w:szCs w:val="22"/>
        </w:rPr>
      </w:pPr>
      <w:r w:rsidRPr="004F779D">
        <w:rPr>
          <w:rFonts w:ascii="Times New Roman" w:hAnsi="Times New Roman" w:cs="Times New Roman"/>
          <w:sz w:val="22"/>
          <w:szCs w:val="22"/>
        </w:rPr>
        <w:t>This raised significant concerns for our client, including:</w:t>
      </w:r>
    </w:p>
    <w:p w14:paraId="15C59BCE" w14:textId="77777777" w:rsidR="004F779D" w:rsidRPr="004F779D" w:rsidRDefault="004F779D" w:rsidP="004F779D">
      <w:pPr>
        <w:numPr>
          <w:ilvl w:val="0"/>
          <w:numId w:val="13"/>
        </w:numPr>
        <w:spacing w:line="360" w:lineRule="auto"/>
        <w:jc w:val="both"/>
        <w:rPr>
          <w:rFonts w:ascii="Times New Roman" w:eastAsia="Times New Roman" w:hAnsi="Times New Roman" w:cs="Times New Roman"/>
          <w:sz w:val="22"/>
          <w:szCs w:val="22"/>
        </w:rPr>
      </w:pPr>
      <w:r w:rsidRPr="004F779D">
        <w:rPr>
          <w:rFonts w:ascii="Times New Roman" w:eastAsia="Times New Roman" w:hAnsi="Times New Roman" w:cs="Times New Roman"/>
          <w:sz w:val="22"/>
          <w:szCs w:val="22"/>
        </w:rPr>
        <w:t>Whether confidential information had been disclosed to third parties.</w:t>
      </w:r>
    </w:p>
    <w:p w14:paraId="58F6F8FD" w14:textId="77777777" w:rsidR="004F779D" w:rsidRPr="004F779D" w:rsidRDefault="004F779D" w:rsidP="004F779D">
      <w:pPr>
        <w:numPr>
          <w:ilvl w:val="0"/>
          <w:numId w:val="13"/>
        </w:numPr>
        <w:spacing w:line="360" w:lineRule="auto"/>
        <w:jc w:val="both"/>
        <w:rPr>
          <w:rFonts w:ascii="Times New Roman" w:eastAsia="Times New Roman" w:hAnsi="Times New Roman" w:cs="Times New Roman"/>
          <w:sz w:val="22"/>
          <w:szCs w:val="22"/>
        </w:rPr>
      </w:pPr>
      <w:r w:rsidRPr="004F779D">
        <w:rPr>
          <w:rFonts w:ascii="Times New Roman" w:eastAsia="Times New Roman" w:hAnsi="Times New Roman" w:cs="Times New Roman"/>
          <w:sz w:val="22"/>
          <w:szCs w:val="22"/>
        </w:rPr>
        <w:t>Whether any such disclosure was authorised under the NDA.</w:t>
      </w:r>
    </w:p>
    <w:p w14:paraId="15BAE2DF" w14:textId="77777777" w:rsidR="004F779D" w:rsidRPr="004F779D" w:rsidRDefault="004F779D" w:rsidP="004F779D">
      <w:pPr>
        <w:numPr>
          <w:ilvl w:val="0"/>
          <w:numId w:val="13"/>
        </w:numPr>
        <w:spacing w:line="360" w:lineRule="auto"/>
        <w:jc w:val="both"/>
        <w:rPr>
          <w:rFonts w:ascii="Times New Roman" w:eastAsia="Times New Roman" w:hAnsi="Times New Roman" w:cs="Times New Roman"/>
          <w:sz w:val="22"/>
          <w:szCs w:val="22"/>
        </w:rPr>
      </w:pPr>
      <w:r w:rsidRPr="004F779D">
        <w:rPr>
          <w:rFonts w:ascii="Times New Roman" w:eastAsia="Times New Roman" w:hAnsi="Times New Roman" w:cs="Times New Roman"/>
          <w:sz w:val="22"/>
          <w:szCs w:val="22"/>
        </w:rPr>
        <w:t>Whether documents, reports, financial information, litigation strategy, or commercially sensitive information had been shared.</w:t>
      </w:r>
    </w:p>
    <w:p w14:paraId="3D9E3A23" w14:textId="77777777" w:rsidR="004F779D" w:rsidRPr="004F779D" w:rsidRDefault="004F779D" w:rsidP="004F779D">
      <w:pPr>
        <w:numPr>
          <w:ilvl w:val="0"/>
          <w:numId w:val="13"/>
        </w:numPr>
        <w:spacing w:line="360" w:lineRule="auto"/>
        <w:jc w:val="both"/>
        <w:rPr>
          <w:rFonts w:ascii="Times New Roman" w:eastAsia="Times New Roman" w:hAnsi="Times New Roman" w:cs="Times New Roman"/>
          <w:sz w:val="22"/>
          <w:szCs w:val="22"/>
        </w:rPr>
      </w:pPr>
      <w:r w:rsidRPr="004F779D">
        <w:rPr>
          <w:rFonts w:ascii="Times New Roman" w:eastAsia="Times New Roman" w:hAnsi="Times New Roman" w:cs="Times New Roman"/>
          <w:sz w:val="22"/>
          <w:szCs w:val="22"/>
        </w:rPr>
        <w:t>Whether further records, notes, or communications existed beyond those already disclosed.</w:t>
      </w:r>
    </w:p>
    <w:p w14:paraId="6DDBE1FE" w14:textId="77777777" w:rsidR="004F779D" w:rsidRDefault="004F779D" w:rsidP="004F779D">
      <w:pPr>
        <w:spacing w:line="360" w:lineRule="auto"/>
        <w:jc w:val="both"/>
        <w:rPr>
          <w:rFonts w:ascii="Times New Roman" w:hAnsi="Times New Roman" w:cs="Times New Roman"/>
          <w:sz w:val="22"/>
          <w:szCs w:val="22"/>
        </w:rPr>
      </w:pPr>
      <w:r w:rsidRPr="004F779D">
        <w:rPr>
          <w:rFonts w:ascii="Times New Roman" w:hAnsi="Times New Roman" w:cs="Times New Roman"/>
          <w:sz w:val="22"/>
          <w:szCs w:val="22"/>
        </w:rPr>
        <w:t>Despite repeated requests for clarification, disclosure, and confirmation of the extent of any information sharing, the respondent did not respond, prompting formal pre-action correspondence and the preparation of court proceedings.</w:t>
      </w:r>
    </w:p>
    <w:p w14:paraId="1713499E" w14:textId="7A5A1B72" w:rsidR="004F779D" w:rsidRPr="004F779D" w:rsidRDefault="004F779D" w:rsidP="004F779D">
      <w:pPr>
        <w:spacing w:line="360" w:lineRule="auto"/>
        <w:jc w:val="both"/>
        <w:rPr>
          <w:rFonts w:ascii="Times New Roman" w:eastAsia="Times New Roman" w:hAnsi="Times New Roman" w:cs="Times New Roman"/>
          <w:sz w:val="22"/>
          <w:szCs w:val="22"/>
        </w:rPr>
      </w:pPr>
      <w:r w:rsidRPr="004F779D">
        <w:rPr>
          <w:rFonts w:ascii="Times New Roman" w:eastAsia="Times New Roman" w:hAnsi="Times New Roman" w:cs="Times New Roman"/>
          <w:sz w:val="22"/>
          <w:szCs w:val="22"/>
        </w:rPr>
        <w:t>Investigation and Findings</w:t>
      </w:r>
    </w:p>
    <w:p w14:paraId="59FBE293" w14:textId="77777777" w:rsidR="004F779D" w:rsidRPr="004F779D" w:rsidRDefault="004F779D" w:rsidP="004F779D">
      <w:pPr>
        <w:spacing w:line="360" w:lineRule="auto"/>
        <w:jc w:val="both"/>
        <w:rPr>
          <w:rFonts w:ascii="Times New Roman" w:eastAsiaTheme="minorEastAsia" w:hAnsi="Times New Roman" w:cs="Times New Roman"/>
          <w:sz w:val="22"/>
          <w:szCs w:val="22"/>
        </w:rPr>
      </w:pPr>
      <w:r w:rsidRPr="004F779D">
        <w:rPr>
          <w:rFonts w:ascii="Times New Roman" w:hAnsi="Times New Roman" w:cs="Times New Roman"/>
          <w:sz w:val="22"/>
          <w:szCs w:val="22"/>
        </w:rPr>
        <w:t>After persistent enquiries and the commencement of legal action, the respondent eventually supplied a written response.</w:t>
      </w:r>
    </w:p>
    <w:p w14:paraId="2F3019BD" w14:textId="77777777" w:rsidR="004F779D" w:rsidRPr="004F779D" w:rsidRDefault="004F779D" w:rsidP="004F779D">
      <w:pPr>
        <w:spacing w:line="360" w:lineRule="auto"/>
        <w:jc w:val="both"/>
        <w:rPr>
          <w:rFonts w:ascii="Times New Roman" w:hAnsi="Times New Roman" w:cs="Times New Roman"/>
          <w:sz w:val="22"/>
          <w:szCs w:val="22"/>
        </w:rPr>
      </w:pPr>
      <w:r w:rsidRPr="004F779D">
        <w:rPr>
          <w:rFonts w:ascii="Times New Roman" w:hAnsi="Times New Roman" w:cs="Times New Roman"/>
          <w:sz w:val="22"/>
          <w:szCs w:val="22"/>
        </w:rPr>
        <w:t>According to the respondent, discussions with the external lawyer were limited to general queries concerning professional independence, remuneration arrangements, and disclosure obligations. The respondent asserted that no information relating to our client, their businesses, or the underlying legal claim had been disclosed.</w:t>
      </w:r>
    </w:p>
    <w:p w14:paraId="6358368F" w14:textId="77777777" w:rsidR="004F779D" w:rsidRPr="004F779D" w:rsidRDefault="004F779D" w:rsidP="004F779D">
      <w:pPr>
        <w:spacing w:line="360" w:lineRule="auto"/>
        <w:jc w:val="both"/>
        <w:rPr>
          <w:rFonts w:ascii="Times New Roman" w:hAnsi="Times New Roman" w:cs="Times New Roman"/>
          <w:sz w:val="22"/>
          <w:szCs w:val="22"/>
        </w:rPr>
      </w:pPr>
      <w:r w:rsidRPr="004F779D">
        <w:rPr>
          <w:rFonts w:ascii="Times New Roman" w:hAnsi="Times New Roman" w:cs="Times New Roman"/>
          <w:sz w:val="22"/>
          <w:szCs w:val="22"/>
        </w:rPr>
        <w:lastRenderedPageBreak/>
        <w:t>This episode underscored the necessity of transparency when dealing with confidential information and highlighted the importance of robust contractual protections, evidence preservation, and the use of formal disclosure requests whenever confidentiality concerns arise.</w:t>
      </w:r>
    </w:p>
    <w:p w14:paraId="4A31F00E" w14:textId="77777777" w:rsidR="004F779D" w:rsidRPr="004F779D" w:rsidRDefault="004F779D" w:rsidP="004F779D">
      <w:pPr>
        <w:pStyle w:val="Heading1"/>
        <w:pageBreakBefore/>
        <w:spacing w:line="360" w:lineRule="auto"/>
        <w:jc w:val="both"/>
        <w:rPr>
          <w:rFonts w:ascii="Times New Roman" w:eastAsia="Times New Roman" w:hAnsi="Times New Roman" w:cs="Times New Roman"/>
          <w:sz w:val="22"/>
          <w:szCs w:val="22"/>
        </w:rPr>
      </w:pPr>
      <w:r w:rsidRPr="004F779D">
        <w:rPr>
          <w:rFonts w:ascii="Times New Roman" w:eastAsia="Times New Roman" w:hAnsi="Times New Roman" w:cs="Times New Roman"/>
          <w:sz w:val="22"/>
          <w:szCs w:val="22"/>
        </w:rPr>
        <w:lastRenderedPageBreak/>
        <w:t>Outcome and Benefit to the Client</w:t>
      </w:r>
    </w:p>
    <w:p w14:paraId="78D31655" w14:textId="77777777" w:rsidR="004F779D" w:rsidRPr="004F779D" w:rsidRDefault="004F779D" w:rsidP="004F779D">
      <w:pPr>
        <w:spacing w:line="360" w:lineRule="auto"/>
        <w:jc w:val="both"/>
        <w:rPr>
          <w:rFonts w:ascii="Times New Roman" w:eastAsiaTheme="minorEastAsia" w:hAnsi="Times New Roman" w:cs="Times New Roman"/>
          <w:sz w:val="22"/>
          <w:szCs w:val="22"/>
        </w:rPr>
      </w:pPr>
      <w:r w:rsidRPr="004F779D">
        <w:rPr>
          <w:rFonts w:ascii="Times New Roman" w:hAnsi="Times New Roman" w:cs="Times New Roman"/>
          <w:sz w:val="22"/>
          <w:szCs w:val="22"/>
        </w:rPr>
        <w:t>As a result of the steps taken:</w:t>
      </w:r>
    </w:p>
    <w:p w14:paraId="550CC57F" w14:textId="77777777" w:rsidR="004F779D" w:rsidRPr="004F779D" w:rsidRDefault="004F779D" w:rsidP="004F779D">
      <w:pPr>
        <w:numPr>
          <w:ilvl w:val="0"/>
          <w:numId w:val="14"/>
        </w:numPr>
        <w:spacing w:line="360" w:lineRule="auto"/>
        <w:jc w:val="both"/>
        <w:rPr>
          <w:rFonts w:ascii="Times New Roman" w:eastAsia="Times New Roman" w:hAnsi="Times New Roman" w:cs="Times New Roman"/>
          <w:sz w:val="22"/>
          <w:szCs w:val="22"/>
        </w:rPr>
      </w:pPr>
      <w:r w:rsidRPr="004F779D">
        <w:rPr>
          <w:rFonts w:ascii="Times New Roman" w:eastAsia="Times New Roman" w:hAnsi="Times New Roman" w:cs="Times New Roman"/>
          <w:sz w:val="22"/>
          <w:szCs w:val="22"/>
        </w:rPr>
        <w:t>The respondent was required to provide a formal written explanation regarding third-party communications.</w:t>
      </w:r>
    </w:p>
    <w:p w14:paraId="66017479" w14:textId="77777777" w:rsidR="004F779D" w:rsidRPr="004F779D" w:rsidRDefault="004F779D" w:rsidP="004F779D">
      <w:pPr>
        <w:numPr>
          <w:ilvl w:val="0"/>
          <w:numId w:val="14"/>
        </w:numPr>
        <w:spacing w:line="360" w:lineRule="auto"/>
        <w:jc w:val="both"/>
        <w:rPr>
          <w:rFonts w:ascii="Times New Roman" w:eastAsia="Times New Roman" w:hAnsi="Times New Roman" w:cs="Times New Roman"/>
          <w:sz w:val="22"/>
          <w:szCs w:val="22"/>
        </w:rPr>
      </w:pPr>
      <w:r w:rsidRPr="004F779D">
        <w:rPr>
          <w:rFonts w:ascii="Times New Roman" w:eastAsia="Times New Roman" w:hAnsi="Times New Roman" w:cs="Times New Roman"/>
          <w:sz w:val="22"/>
          <w:szCs w:val="22"/>
        </w:rPr>
        <w:t>A comprehensive evidential chronology was assembled and preserved.</w:t>
      </w:r>
    </w:p>
    <w:p w14:paraId="60DE2FE7" w14:textId="77777777" w:rsidR="004F779D" w:rsidRPr="004F779D" w:rsidRDefault="004F779D" w:rsidP="004F779D">
      <w:pPr>
        <w:numPr>
          <w:ilvl w:val="0"/>
          <w:numId w:val="14"/>
        </w:numPr>
        <w:spacing w:line="360" w:lineRule="auto"/>
        <w:jc w:val="both"/>
        <w:rPr>
          <w:rFonts w:ascii="Times New Roman" w:eastAsia="Times New Roman" w:hAnsi="Times New Roman" w:cs="Times New Roman"/>
          <w:sz w:val="22"/>
          <w:szCs w:val="22"/>
        </w:rPr>
      </w:pPr>
      <w:r w:rsidRPr="004F779D">
        <w:rPr>
          <w:rFonts w:ascii="Times New Roman" w:eastAsia="Times New Roman" w:hAnsi="Times New Roman" w:cs="Times New Roman"/>
          <w:sz w:val="22"/>
          <w:szCs w:val="22"/>
        </w:rPr>
        <w:t>Confidentiality obligations were scrutinised and tested against the respondent's actions.</w:t>
      </w:r>
    </w:p>
    <w:p w14:paraId="46E0AAFA" w14:textId="77777777" w:rsidR="004F779D" w:rsidRPr="004F779D" w:rsidRDefault="004F779D" w:rsidP="004F779D">
      <w:pPr>
        <w:numPr>
          <w:ilvl w:val="0"/>
          <w:numId w:val="14"/>
        </w:numPr>
        <w:spacing w:line="360" w:lineRule="auto"/>
        <w:jc w:val="both"/>
        <w:rPr>
          <w:rFonts w:ascii="Times New Roman" w:eastAsia="Times New Roman" w:hAnsi="Times New Roman" w:cs="Times New Roman"/>
          <w:sz w:val="22"/>
          <w:szCs w:val="22"/>
        </w:rPr>
      </w:pPr>
      <w:r w:rsidRPr="004F779D">
        <w:rPr>
          <w:rFonts w:ascii="Times New Roman" w:eastAsia="Times New Roman" w:hAnsi="Times New Roman" w:cs="Times New Roman"/>
          <w:sz w:val="22"/>
          <w:szCs w:val="22"/>
        </w:rPr>
        <w:t>Potential risks relating to the dissemination of confidential information were identified and investigated.</w:t>
      </w:r>
    </w:p>
    <w:p w14:paraId="340C0E8A" w14:textId="77777777" w:rsidR="004F779D" w:rsidRPr="004F779D" w:rsidRDefault="004F779D" w:rsidP="004F779D">
      <w:pPr>
        <w:numPr>
          <w:ilvl w:val="0"/>
          <w:numId w:val="14"/>
        </w:numPr>
        <w:spacing w:line="360" w:lineRule="auto"/>
        <w:jc w:val="both"/>
        <w:rPr>
          <w:rFonts w:ascii="Times New Roman" w:eastAsia="Times New Roman" w:hAnsi="Times New Roman" w:cs="Times New Roman"/>
          <w:sz w:val="22"/>
          <w:szCs w:val="22"/>
        </w:rPr>
      </w:pPr>
      <w:r w:rsidRPr="004F779D">
        <w:rPr>
          <w:rFonts w:ascii="Times New Roman" w:eastAsia="Times New Roman" w:hAnsi="Times New Roman" w:cs="Times New Roman"/>
          <w:sz w:val="22"/>
          <w:szCs w:val="22"/>
        </w:rPr>
        <w:t>Litigation documents, disclosure requests, and supporting evidence were prepared and organised.</w:t>
      </w:r>
    </w:p>
    <w:p w14:paraId="4D96962E" w14:textId="77777777" w:rsidR="004F779D" w:rsidRPr="004F779D" w:rsidRDefault="004F779D" w:rsidP="004F779D">
      <w:pPr>
        <w:numPr>
          <w:ilvl w:val="0"/>
          <w:numId w:val="14"/>
        </w:numPr>
        <w:spacing w:line="360" w:lineRule="auto"/>
        <w:jc w:val="both"/>
        <w:rPr>
          <w:rFonts w:ascii="Times New Roman" w:eastAsia="Times New Roman" w:hAnsi="Times New Roman" w:cs="Times New Roman"/>
          <w:sz w:val="22"/>
          <w:szCs w:val="22"/>
        </w:rPr>
      </w:pPr>
      <w:r w:rsidRPr="004F779D">
        <w:rPr>
          <w:rFonts w:ascii="Times New Roman" w:eastAsia="Times New Roman" w:hAnsi="Times New Roman" w:cs="Times New Roman"/>
          <w:sz w:val="22"/>
          <w:szCs w:val="22"/>
        </w:rPr>
        <w:t>The client gained greater clarity regarding the respondent's position and the nature of the external consultation.</w:t>
      </w:r>
    </w:p>
    <w:p w14:paraId="3D92F940" w14:textId="77777777" w:rsidR="004F779D" w:rsidRDefault="004F779D" w:rsidP="004F779D">
      <w:pPr>
        <w:spacing w:line="360" w:lineRule="auto"/>
        <w:jc w:val="both"/>
        <w:rPr>
          <w:rFonts w:ascii="Times New Roman" w:hAnsi="Times New Roman" w:cs="Times New Roman"/>
          <w:sz w:val="22"/>
          <w:szCs w:val="22"/>
        </w:rPr>
      </w:pPr>
      <w:r w:rsidRPr="004F779D">
        <w:rPr>
          <w:rFonts w:ascii="Times New Roman" w:hAnsi="Times New Roman" w:cs="Times New Roman"/>
          <w:sz w:val="22"/>
          <w:szCs w:val="22"/>
        </w:rPr>
        <w:t>Most importantly, the process ensured that concerns about confidentiality were formally addressed rather than left unresolved, allowing our client to protect sensitive information, preserve legal rights, and establish a foundation of evidence for any future proceedings should further information come to light.</w:t>
      </w:r>
    </w:p>
    <w:p w14:paraId="60E365BF" w14:textId="4427952F" w:rsidR="004F779D" w:rsidRPr="004F779D" w:rsidRDefault="004F779D" w:rsidP="004F779D">
      <w:pPr>
        <w:spacing w:line="360" w:lineRule="auto"/>
        <w:jc w:val="both"/>
        <w:rPr>
          <w:rFonts w:ascii="Times New Roman" w:eastAsia="Times New Roman" w:hAnsi="Times New Roman" w:cs="Times New Roman"/>
          <w:sz w:val="22"/>
          <w:szCs w:val="22"/>
        </w:rPr>
      </w:pPr>
      <w:r w:rsidRPr="004F779D">
        <w:rPr>
          <w:rFonts w:ascii="Times New Roman" w:eastAsia="Times New Roman" w:hAnsi="Times New Roman" w:cs="Times New Roman"/>
          <w:sz w:val="22"/>
          <w:szCs w:val="22"/>
        </w:rPr>
        <w:t>Key Takeaway</w:t>
      </w:r>
    </w:p>
    <w:p w14:paraId="0EC34461" w14:textId="77777777" w:rsidR="004F779D" w:rsidRPr="004F779D" w:rsidRDefault="004F779D" w:rsidP="004F779D">
      <w:pPr>
        <w:spacing w:line="360" w:lineRule="auto"/>
        <w:jc w:val="both"/>
        <w:rPr>
          <w:rFonts w:ascii="Times New Roman" w:eastAsiaTheme="minorEastAsia" w:hAnsi="Times New Roman" w:cs="Times New Roman"/>
          <w:sz w:val="22"/>
          <w:szCs w:val="22"/>
        </w:rPr>
      </w:pPr>
      <w:r w:rsidRPr="004F779D">
        <w:rPr>
          <w:rFonts w:ascii="Times New Roman" w:hAnsi="Times New Roman" w:cs="Times New Roman"/>
          <w:sz w:val="22"/>
          <w:szCs w:val="22"/>
        </w:rPr>
        <w:t>This case demonstrates that prompt action, meticulous evidence gathering, and the enforcement of contractual confidentiality obligations can provide clients with meaningful protection when issues arise regarding the handling of sensitive commercial or legal information by a professional adviser.</w:t>
      </w:r>
    </w:p>
    <w:sectPr w:rsidR="004F779D" w:rsidRPr="004F779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F13D3" w14:textId="77777777" w:rsidR="00FD71C9" w:rsidRDefault="00FD71C9" w:rsidP="004F779D">
      <w:pPr>
        <w:spacing w:after="0" w:line="240" w:lineRule="auto"/>
      </w:pPr>
      <w:r>
        <w:separator/>
      </w:r>
    </w:p>
  </w:endnote>
  <w:endnote w:type="continuationSeparator" w:id="0">
    <w:p w14:paraId="01C5FE5B" w14:textId="77777777" w:rsidR="00FD71C9" w:rsidRDefault="00FD71C9" w:rsidP="004F7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8E07B" w14:textId="77777777" w:rsidR="004F779D" w:rsidRDefault="004F7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68BD7" w14:textId="77777777" w:rsidR="004F779D" w:rsidRDefault="004F77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12A8B" w14:textId="77777777" w:rsidR="004F779D" w:rsidRDefault="004F77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2F3CC" w14:textId="77777777" w:rsidR="00FD71C9" w:rsidRDefault="00FD71C9" w:rsidP="004F779D">
      <w:pPr>
        <w:spacing w:after="0" w:line="240" w:lineRule="auto"/>
      </w:pPr>
      <w:r>
        <w:separator/>
      </w:r>
    </w:p>
  </w:footnote>
  <w:footnote w:type="continuationSeparator" w:id="0">
    <w:p w14:paraId="5CDF36A6" w14:textId="77777777" w:rsidR="00FD71C9" w:rsidRDefault="00FD71C9" w:rsidP="004F77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267F6" w14:textId="37EF299F" w:rsidR="004F779D" w:rsidRDefault="004F779D">
    <w:pPr>
      <w:pStyle w:val="Header"/>
    </w:pPr>
    <w:r>
      <w:rPr>
        <w:noProof/>
      </w:rPr>
      <w:pict w14:anchorId="6D1C91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8485297" o:spid="_x0000_s1026" type="#_x0000_t75" style="position:absolute;margin-left:0;margin-top:0;width:451.15pt;height:609.15pt;z-index:-251657216;mso-position-horizontal:center;mso-position-horizontal-relative:margin;mso-position-vertical:center;mso-position-vertical-relative:margin" o:allowincell="f">
          <v:imagedata r:id="rId1" o:title="JUSTICE ON APPEAL LOGO 1"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9118D" w14:textId="7C1430E8" w:rsidR="004F779D" w:rsidRDefault="004F779D">
    <w:pPr>
      <w:pStyle w:val="Header"/>
    </w:pPr>
    <w:r>
      <w:rPr>
        <w:noProof/>
      </w:rPr>
      <w:pict w14:anchorId="2DA536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8485298" o:spid="_x0000_s1027" type="#_x0000_t75" style="position:absolute;margin-left:0;margin-top:0;width:451.15pt;height:609.15pt;z-index:-251656192;mso-position-horizontal:center;mso-position-horizontal-relative:margin;mso-position-vertical:center;mso-position-vertical-relative:margin" o:allowincell="f">
          <v:imagedata r:id="rId1" o:title="JUSTICE ON APPEAL LOGO 1"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187BB" w14:textId="0379BCCA" w:rsidR="004F779D" w:rsidRDefault="004F779D">
    <w:pPr>
      <w:pStyle w:val="Header"/>
    </w:pPr>
    <w:r>
      <w:rPr>
        <w:noProof/>
      </w:rPr>
      <w:pict w14:anchorId="704C3D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8485296" o:spid="_x0000_s1025" type="#_x0000_t75" style="position:absolute;margin-left:0;margin-top:0;width:451.15pt;height:609.15pt;z-index:-251658240;mso-position-horizontal:center;mso-position-horizontal-relative:margin;mso-position-vertical:center;mso-position-vertical-relative:margin" o:allowincell="f">
          <v:imagedata r:id="rId1" o:title="JUSTICE ON APPEAL LOGO 1"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526F3"/>
    <w:multiLevelType w:val="multilevel"/>
    <w:tmpl w:val="E43EC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997AAA"/>
    <w:multiLevelType w:val="multilevel"/>
    <w:tmpl w:val="2F60C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D324B9"/>
    <w:multiLevelType w:val="multilevel"/>
    <w:tmpl w:val="F8126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CC72E6"/>
    <w:multiLevelType w:val="multilevel"/>
    <w:tmpl w:val="50BEF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8E2F13"/>
    <w:multiLevelType w:val="multilevel"/>
    <w:tmpl w:val="462EA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883194"/>
    <w:multiLevelType w:val="multilevel"/>
    <w:tmpl w:val="7F5EC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AF0200"/>
    <w:multiLevelType w:val="multilevel"/>
    <w:tmpl w:val="E0F6E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337F7E"/>
    <w:multiLevelType w:val="multilevel"/>
    <w:tmpl w:val="931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38112A"/>
    <w:multiLevelType w:val="multilevel"/>
    <w:tmpl w:val="36AA5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5E6B7A"/>
    <w:multiLevelType w:val="multilevel"/>
    <w:tmpl w:val="E97E3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0E24F5"/>
    <w:multiLevelType w:val="multilevel"/>
    <w:tmpl w:val="E9C0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3F4E44"/>
    <w:multiLevelType w:val="multilevel"/>
    <w:tmpl w:val="91F6F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751737"/>
    <w:multiLevelType w:val="multilevel"/>
    <w:tmpl w:val="C0425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7C0A0A"/>
    <w:multiLevelType w:val="multilevel"/>
    <w:tmpl w:val="9DCE5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6468401">
    <w:abstractNumId w:val="11"/>
  </w:num>
  <w:num w:numId="2" w16cid:durableId="39717561">
    <w:abstractNumId w:val="1"/>
  </w:num>
  <w:num w:numId="3" w16cid:durableId="510220094">
    <w:abstractNumId w:val="7"/>
  </w:num>
  <w:num w:numId="4" w16cid:durableId="735320228">
    <w:abstractNumId w:val="8"/>
  </w:num>
  <w:num w:numId="5" w16cid:durableId="859969991">
    <w:abstractNumId w:val="3"/>
  </w:num>
  <w:num w:numId="6" w16cid:durableId="1809084957">
    <w:abstractNumId w:val="12"/>
  </w:num>
  <w:num w:numId="7" w16cid:durableId="1329290993">
    <w:abstractNumId w:val="5"/>
  </w:num>
  <w:num w:numId="8" w16cid:durableId="1749645956">
    <w:abstractNumId w:val="4"/>
  </w:num>
  <w:num w:numId="9" w16cid:durableId="1733232733">
    <w:abstractNumId w:val="2"/>
  </w:num>
  <w:num w:numId="10" w16cid:durableId="1879388527">
    <w:abstractNumId w:val="10"/>
  </w:num>
  <w:num w:numId="11" w16cid:durableId="682784377">
    <w:abstractNumId w:val="9"/>
  </w:num>
  <w:num w:numId="12" w16cid:durableId="1505777908">
    <w:abstractNumId w:val="13"/>
  </w:num>
  <w:num w:numId="13" w16cid:durableId="1339187752">
    <w:abstractNumId w:val="0"/>
  </w:num>
  <w:num w:numId="14" w16cid:durableId="8884953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79D"/>
    <w:rsid w:val="003A23C4"/>
    <w:rsid w:val="004F779D"/>
    <w:rsid w:val="005015E0"/>
    <w:rsid w:val="00517DA1"/>
    <w:rsid w:val="00C46FF2"/>
    <w:rsid w:val="00C574B7"/>
    <w:rsid w:val="00FD71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8DCE06"/>
  <w15:chartTrackingRefBased/>
  <w15:docId w15:val="{5B4C80AB-0921-42E1-954B-27A15403A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77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77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77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77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77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77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77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77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77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77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77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77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77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77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77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77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77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779D"/>
    <w:rPr>
      <w:rFonts w:eastAsiaTheme="majorEastAsia" w:cstheme="majorBidi"/>
      <w:color w:val="272727" w:themeColor="text1" w:themeTint="D8"/>
    </w:rPr>
  </w:style>
  <w:style w:type="paragraph" w:styleId="Title">
    <w:name w:val="Title"/>
    <w:basedOn w:val="Normal"/>
    <w:next w:val="Normal"/>
    <w:link w:val="TitleChar"/>
    <w:uiPriority w:val="10"/>
    <w:qFormat/>
    <w:rsid w:val="004F77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77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77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77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779D"/>
    <w:pPr>
      <w:spacing w:before="160"/>
      <w:jc w:val="center"/>
    </w:pPr>
    <w:rPr>
      <w:i/>
      <w:iCs/>
      <w:color w:val="404040" w:themeColor="text1" w:themeTint="BF"/>
    </w:rPr>
  </w:style>
  <w:style w:type="character" w:customStyle="1" w:styleId="QuoteChar">
    <w:name w:val="Quote Char"/>
    <w:basedOn w:val="DefaultParagraphFont"/>
    <w:link w:val="Quote"/>
    <w:uiPriority w:val="29"/>
    <w:rsid w:val="004F779D"/>
    <w:rPr>
      <w:i/>
      <w:iCs/>
      <w:color w:val="404040" w:themeColor="text1" w:themeTint="BF"/>
    </w:rPr>
  </w:style>
  <w:style w:type="paragraph" w:styleId="ListParagraph">
    <w:name w:val="List Paragraph"/>
    <w:basedOn w:val="Normal"/>
    <w:uiPriority w:val="34"/>
    <w:qFormat/>
    <w:rsid w:val="004F779D"/>
    <w:pPr>
      <w:ind w:left="720"/>
      <w:contextualSpacing/>
    </w:pPr>
  </w:style>
  <w:style w:type="character" w:styleId="IntenseEmphasis">
    <w:name w:val="Intense Emphasis"/>
    <w:basedOn w:val="DefaultParagraphFont"/>
    <w:uiPriority w:val="21"/>
    <w:qFormat/>
    <w:rsid w:val="004F779D"/>
    <w:rPr>
      <w:i/>
      <w:iCs/>
      <w:color w:val="0F4761" w:themeColor="accent1" w:themeShade="BF"/>
    </w:rPr>
  </w:style>
  <w:style w:type="paragraph" w:styleId="IntenseQuote">
    <w:name w:val="Intense Quote"/>
    <w:basedOn w:val="Normal"/>
    <w:next w:val="Normal"/>
    <w:link w:val="IntenseQuoteChar"/>
    <w:uiPriority w:val="30"/>
    <w:qFormat/>
    <w:rsid w:val="004F77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779D"/>
    <w:rPr>
      <w:i/>
      <w:iCs/>
      <w:color w:val="0F4761" w:themeColor="accent1" w:themeShade="BF"/>
    </w:rPr>
  </w:style>
  <w:style w:type="character" w:styleId="IntenseReference">
    <w:name w:val="Intense Reference"/>
    <w:basedOn w:val="DefaultParagraphFont"/>
    <w:uiPriority w:val="32"/>
    <w:qFormat/>
    <w:rsid w:val="004F779D"/>
    <w:rPr>
      <w:b/>
      <w:bCs/>
      <w:smallCaps/>
      <w:color w:val="0F4761" w:themeColor="accent1" w:themeShade="BF"/>
      <w:spacing w:val="5"/>
    </w:rPr>
  </w:style>
  <w:style w:type="paragraph" w:styleId="Header">
    <w:name w:val="header"/>
    <w:basedOn w:val="Normal"/>
    <w:link w:val="HeaderChar"/>
    <w:uiPriority w:val="99"/>
    <w:unhideWhenUsed/>
    <w:rsid w:val="004F77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779D"/>
  </w:style>
  <w:style w:type="paragraph" w:styleId="Footer">
    <w:name w:val="footer"/>
    <w:basedOn w:val="Normal"/>
    <w:link w:val="FooterChar"/>
    <w:uiPriority w:val="99"/>
    <w:unhideWhenUsed/>
    <w:rsid w:val="004F77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77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485</Words>
  <Characters>3242</Characters>
  <Application>Microsoft Office Word</Application>
  <DocSecurity>0</DocSecurity>
  <Lines>61</Lines>
  <Paragraphs>31</Paragraphs>
  <ScaleCrop>false</ScaleCrop>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Smith</dc:creator>
  <cp:keywords/>
  <dc:description/>
  <cp:lastModifiedBy>John Smith</cp:lastModifiedBy>
  <cp:revision>1</cp:revision>
  <dcterms:created xsi:type="dcterms:W3CDTF">2026-08-19T10:24:00Z</dcterms:created>
  <dcterms:modified xsi:type="dcterms:W3CDTF">2026-08-19T10:26:00Z</dcterms:modified>
</cp:coreProperties>
</file>