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B7002" w14:textId="77777777" w:rsidR="00EB2044" w:rsidRPr="00EB2044" w:rsidRDefault="00EB2044" w:rsidP="00EB2044">
      <w:pPr>
        <w:pStyle w:val="Title"/>
        <w:spacing w:line="36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EB2044">
        <w:rPr>
          <w:rFonts w:ascii="Times New Roman" w:hAnsi="Times New Roman" w:cs="Times New Roman"/>
          <w:sz w:val="22"/>
          <w:szCs w:val="22"/>
        </w:rPr>
        <w:t>Case Summary: Transparency, Communication and Record Disclosure Complaint Against a National Law Firm</w:t>
      </w:r>
    </w:p>
    <w:p w14:paraId="37A4B141" w14:textId="77777777" w:rsidR="00EB2044" w:rsidRPr="00EB2044" w:rsidRDefault="00EB2044" w:rsidP="00EB2044">
      <w:pPr>
        <w:pStyle w:val="Subtitle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B2044">
        <w:rPr>
          <w:rFonts w:ascii="Times New Roman" w:hAnsi="Times New Roman" w:cs="Times New Roman"/>
          <w:sz w:val="22"/>
          <w:szCs w:val="22"/>
        </w:rPr>
        <w:t>Paginated Overview and Analysis</w:t>
      </w:r>
    </w:p>
    <w:p w14:paraId="4430CAC1" w14:textId="77777777" w:rsidR="00EB2044" w:rsidRPr="00EB2044" w:rsidRDefault="00EB2044" w:rsidP="00EB2044">
      <w:pPr>
        <w:pStyle w:val="Heading1"/>
        <w:keepNext w:val="0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1. Overview</w:t>
      </w:r>
    </w:p>
    <w:p w14:paraId="1EDF228F" w14:textId="77777777" w:rsidR="00EB2044" w:rsidRPr="00EB2044" w:rsidRDefault="00EB2044" w:rsidP="00EB2044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EB2044">
        <w:rPr>
          <w:rFonts w:ascii="Times New Roman" w:hAnsi="Times New Roman" w:cs="Times New Roman"/>
          <w:sz w:val="22"/>
          <w:szCs w:val="22"/>
        </w:rPr>
        <w:t xml:space="preserve">Our client approached a prominent, regulated law firm for legal advice and possible representation in relation to a complex, high-value dispute involving a public </w:t>
      </w:r>
      <w:proofErr w:type="gramStart"/>
      <w:r w:rsidRPr="00EB2044">
        <w:rPr>
          <w:rFonts w:ascii="Times New Roman" w:hAnsi="Times New Roman" w:cs="Times New Roman"/>
          <w:sz w:val="22"/>
          <w:szCs w:val="22"/>
        </w:rPr>
        <w:t>office-holder</w:t>
      </w:r>
      <w:proofErr w:type="gramEnd"/>
      <w:r w:rsidRPr="00EB2044">
        <w:rPr>
          <w:rFonts w:ascii="Times New Roman" w:hAnsi="Times New Roman" w:cs="Times New Roman"/>
          <w:sz w:val="22"/>
          <w:szCs w:val="22"/>
        </w:rPr>
        <w:t>. The respondent firm specialises in litigation and dispute resolution services.</w:t>
      </w:r>
    </w:p>
    <w:p w14:paraId="713D969F" w14:textId="77777777" w:rsidR="00EB2044" w:rsidRPr="00EB2044" w:rsidRDefault="00EB2044" w:rsidP="00EB2044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B2044">
        <w:rPr>
          <w:rFonts w:ascii="Times New Roman" w:hAnsi="Times New Roman" w:cs="Times New Roman"/>
          <w:sz w:val="22"/>
          <w:szCs w:val="22"/>
        </w:rPr>
        <w:t>During the engagement, the law firm reviewed relevant documentation, consulted with counsel, communicated with a prospective litigation funder, and assessed the merits of the potential claim. Despite these actions, significant concerns emerged about the firm’s communication practices, transparency, documentation, and its approach to complaint handling.</w:t>
      </w:r>
    </w:p>
    <w:p w14:paraId="62C84753" w14:textId="77777777" w:rsidR="00EB2044" w:rsidRPr="00EB2044" w:rsidRDefault="00EB2044" w:rsidP="00EB2044">
      <w:pPr>
        <w:pStyle w:val="Heading1"/>
        <w:keepNext w:val="0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2. Key Issues Identified</w:t>
      </w:r>
    </w:p>
    <w:p w14:paraId="386514D8" w14:textId="77777777" w:rsidR="00EB2044" w:rsidRPr="00EB2044" w:rsidRDefault="00EB2044" w:rsidP="00EB2044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EB2044">
        <w:rPr>
          <w:rFonts w:ascii="Times New Roman" w:hAnsi="Times New Roman" w:cs="Times New Roman"/>
          <w:sz w:val="22"/>
          <w:szCs w:val="22"/>
        </w:rPr>
        <w:t>The client’s complaints focused on several core issues, notably that the respondent:</w:t>
      </w:r>
    </w:p>
    <w:p w14:paraId="18DD6635" w14:textId="77777777" w:rsidR="00EB2044" w:rsidRPr="00EB2044" w:rsidRDefault="00EB2044" w:rsidP="00EB2044">
      <w:pPr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Did not clearly explain whether it was formally engaged, merely reviewing the case, or just considering whether to accept instructions.</w:t>
      </w:r>
    </w:p>
    <w:p w14:paraId="00A6BA87" w14:textId="77777777" w:rsidR="00EB2044" w:rsidRPr="00EB2044" w:rsidRDefault="00EB2044" w:rsidP="00EB2044">
      <w:pPr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Provided conflicting information regarding whether work completed was billable.</w:t>
      </w:r>
    </w:p>
    <w:p w14:paraId="174E7429" w14:textId="77777777" w:rsidR="00EB2044" w:rsidRPr="00EB2044" w:rsidRDefault="00EB2044" w:rsidP="00EB2044">
      <w:pPr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Failed to give satisfactory explanations about counsel’s involvement and the criteria underpinning any merits assessments.</w:t>
      </w:r>
    </w:p>
    <w:p w14:paraId="37CAF554" w14:textId="77777777" w:rsidR="00EB2044" w:rsidRPr="00EB2044" w:rsidRDefault="00EB2044" w:rsidP="00EB2044">
      <w:pPr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Lacked a clear audit trail to demonstrate precisely how decisions and conclusions were reached.</w:t>
      </w:r>
    </w:p>
    <w:p w14:paraId="003271D9" w14:textId="77777777" w:rsidR="00EB2044" w:rsidRPr="00EB2044" w:rsidRDefault="00EB2044" w:rsidP="00EB2044">
      <w:pPr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Maintained attendance notes and records that seemed inadequate for the matter’s complexity and value.</w:t>
      </w:r>
    </w:p>
    <w:p w14:paraId="2A4630DB" w14:textId="77777777" w:rsidR="00EB2044" w:rsidRPr="00EB2044" w:rsidRDefault="00EB2044" w:rsidP="00EB2044">
      <w:pPr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Did not provide satisfactory responses to the client’s detailed concerns.</w:t>
      </w:r>
    </w:p>
    <w:p w14:paraId="61CCFCAD" w14:textId="77777777" w:rsidR="00EB2044" w:rsidRPr="00EB2044" w:rsidRDefault="00EB2044" w:rsidP="00EB2044">
      <w:pPr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Closed correspondence without thoroughly addressing several outstanding questions.</w:t>
      </w:r>
    </w:p>
    <w:p w14:paraId="10066D24" w14:textId="77777777" w:rsidR="00EB2044" w:rsidRPr="00EB2044" w:rsidRDefault="00EB2044" w:rsidP="00EB2044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EB2044">
        <w:rPr>
          <w:rFonts w:ascii="Times New Roman" w:hAnsi="Times New Roman" w:cs="Times New Roman"/>
          <w:sz w:val="22"/>
          <w:szCs w:val="22"/>
        </w:rPr>
        <w:t>Further concerns arose about record disclosure, specifically whether all personal data and file materials had been properly disclosed in response to information requests.</w:t>
      </w:r>
    </w:p>
    <w:p w14:paraId="6195ADF5" w14:textId="77777777" w:rsidR="00EB2044" w:rsidRPr="00EB2044" w:rsidRDefault="00EB2044" w:rsidP="00EB2044">
      <w:pPr>
        <w:pStyle w:val="Heading1"/>
        <w:keepNext w:val="0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3. Regulatory and Complaint Outcomes</w:t>
      </w:r>
    </w:p>
    <w:p w14:paraId="463F6C77" w14:textId="77777777" w:rsidR="00EB2044" w:rsidRPr="00EB2044" w:rsidRDefault="00EB2044" w:rsidP="00EB2044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EB2044">
        <w:rPr>
          <w:rFonts w:ascii="Times New Roman" w:hAnsi="Times New Roman" w:cs="Times New Roman"/>
          <w:sz w:val="22"/>
          <w:szCs w:val="22"/>
        </w:rPr>
        <w:t>The matter was formally reported to the legal regulator. Upon review, the regulator identified a potential breach of regulatory rules. However, it decided against launching a formal investigation, deeming the issues insufficiently serious for regulatory enforcement and more appropriately categorised as service-related concerns.</w:t>
      </w:r>
    </w:p>
    <w:p w14:paraId="0A30F09E" w14:textId="77777777" w:rsidR="00EB2044" w:rsidRPr="00EB2044" w:rsidRDefault="00EB2044" w:rsidP="00EB2044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B2044">
        <w:rPr>
          <w:rFonts w:ascii="Times New Roman" w:hAnsi="Times New Roman" w:cs="Times New Roman"/>
          <w:sz w:val="22"/>
          <w:szCs w:val="22"/>
        </w:rPr>
        <w:lastRenderedPageBreak/>
        <w:t>Significantly, the regulator did not dismiss the complaint as baseless, instead retaining the complaint and its supporting documentation on file.</w:t>
      </w:r>
    </w:p>
    <w:p w14:paraId="128B99A5" w14:textId="77777777" w:rsidR="00EB2044" w:rsidRPr="00EB2044" w:rsidRDefault="00EB2044" w:rsidP="00EB2044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B2044">
        <w:rPr>
          <w:rFonts w:ascii="Times New Roman" w:hAnsi="Times New Roman" w:cs="Times New Roman"/>
          <w:sz w:val="22"/>
          <w:szCs w:val="22"/>
        </w:rPr>
        <w:t>Subsequent complaints and requests for disclosure prompted the respondent firm to state that it would provide no further information, referring the client to independent complaints and data protection processes.</w:t>
      </w:r>
    </w:p>
    <w:p w14:paraId="109203EB" w14:textId="77777777" w:rsidR="00EB2044" w:rsidRPr="00EB2044" w:rsidRDefault="00EB2044" w:rsidP="00EB2044">
      <w:pPr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A formal complaint was lodged with the Legal Ombudsman.</w:t>
      </w:r>
    </w:p>
    <w:p w14:paraId="4CAD11F5" w14:textId="77777777" w:rsidR="00EB2044" w:rsidRPr="00EB2044" w:rsidRDefault="00EB2044" w:rsidP="00EB2044">
      <w:pPr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A separate complaint was submitted to the Information Commissioner's Office, raising concerns about the adequacy of data disclosure and record searches.</w:t>
      </w:r>
    </w:p>
    <w:p w14:paraId="2696B7B3" w14:textId="77777777" w:rsidR="00EB2044" w:rsidRPr="00EB2044" w:rsidRDefault="00EB2044" w:rsidP="00EB2044">
      <w:pPr>
        <w:pStyle w:val="Heading1"/>
        <w:keepNext w:val="0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4. Benefit Achieved for the Client</w:t>
      </w:r>
    </w:p>
    <w:p w14:paraId="7F1223BE" w14:textId="77777777" w:rsidR="00EB2044" w:rsidRPr="00EB2044" w:rsidRDefault="00EB2044" w:rsidP="00EB2044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EB2044">
        <w:rPr>
          <w:rFonts w:ascii="Times New Roman" w:hAnsi="Times New Roman" w:cs="Times New Roman"/>
          <w:sz w:val="22"/>
          <w:szCs w:val="22"/>
        </w:rPr>
        <w:t>As a result of these actions, the client achieved several important outcomes:</w:t>
      </w:r>
    </w:p>
    <w:p w14:paraId="75F2286E" w14:textId="77777777" w:rsidR="00EB2044" w:rsidRPr="00EB2044" w:rsidRDefault="00EB2044" w:rsidP="00EB2044">
      <w:pPr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Secured regulatory scrutiny of the issues raised.</w:t>
      </w:r>
    </w:p>
    <w:p w14:paraId="66060044" w14:textId="77777777" w:rsidR="00EB2044" w:rsidRPr="00EB2044" w:rsidRDefault="00EB2044" w:rsidP="00EB2044">
      <w:pPr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Received confirmation that the regulator had identified a potential regulatory concern.</w:t>
      </w:r>
    </w:p>
    <w:p w14:paraId="0F4517BC" w14:textId="77777777" w:rsidR="00EB2044" w:rsidRPr="00EB2044" w:rsidRDefault="00EB2044" w:rsidP="00EB2044">
      <w:pPr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Ensured a permanent record of the complaint was preserved by the regulator.</w:t>
      </w:r>
    </w:p>
    <w:p w14:paraId="68AC3168" w14:textId="77777777" w:rsidR="00EB2044" w:rsidRPr="00EB2044" w:rsidRDefault="00EB2044" w:rsidP="00EB2044">
      <w:pPr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Obtained disclosure of documents and records pertinent to the dispute.</w:t>
      </w:r>
    </w:p>
    <w:p w14:paraId="30F03FC5" w14:textId="77777777" w:rsidR="00EB2044" w:rsidRPr="00EB2044" w:rsidRDefault="00EB2044" w:rsidP="00EB2044">
      <w:pPr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Escalated the matter to independent complaints and data protection authorities.</w:t>
      </w:r>
    </w:p>
    <w:p w14:paraId="0BCB2C01" w14:textId="77777777" w:rsidR="00EB2044" w:rsidRPr="00EB2044" w:rsidRDefault="00EB2044" w:rsidP="00EB2044">
      <w:pPr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Positioned the case for further independent review regarding both service failures and disclosure obligations.</w:t>
      </w:r>
    </w:p>
    <w:p w14:paraId="0C63E820" w14:textId="77777777" w:rsidR="00EB2044" w:rsidRPr="00EB2044" w:rsidRDefault="00EB2044" w:rsidP="00EB2044">
      <w:pPr>
        <w:pStyle w:val="Heading1"/>
        <w:keepNext w:val="0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B2044">
        <w:rPr>
          <w:rFonts w:ascii="Times New Roman" w:eastAsia="Times New Roman" w:hAnsi="Times New Roman" w:cs="Times New Roman"/>
          <w:sz w:val="22"/>
          <w:szCs w:val="22"/>
        </w:rPr>
        <w:t>5. Lessons Learned</w:t>
      </w:r>
    </w:p>
    <w:p w14:paraId="6FCCCB38" w14:textId="77777777" w:rsidR="00EB2044" w:rsidRPr="00EB2044" w:rsidRDefault="00EB2044" w:rsidP="00EB2044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EB2044">
        <w:rPr>
          <w:rFonts w:ascii="Times New Roman" w:hAnsi="Times New Roman" w:cs="Times New Roman"/>
          <w:sz w:val="22"/>
          <w:szCs w:val="22"/>
        </w:rPr>
        <w:t>This case underscores the critical importance of transparent client communication, robust record-keeping, clear engagement terms, and timely, thorough responses to client concerns within regulated professional services. Law firms should ensure that all client interactions are well-documented, that roles and charges are made clear from the outset, and that clients receive prompt, comprehensive responses to their queries and complaints.</w:t>
      </w:r>
    </w:p>
    <w:sectPr w:rsidR="00EB2044" w:rsidRPr="00EB20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C7099" w14:textId="77777777" w:rsidR="005573F2" w:rsidRDefault="005573F2" w:rsidP="00EB2044">
      <w:pPr>
        <w:spacing w:after="0" w:line="240" w:lineRule="auto"/>
      </w:pPr>
      <w:r>
        <w:separator/>
      </w:r>
    </w:p>
  </w:endnote>
  <w:endnote w:type="continuationSeparator" w:id="0">
    <w:p w14:paraId="7FB41496" w14:textId="77777777" w:rsidR="005573F2" w:rsidRDefault="005573F2" w:rsidP="00EB2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9313C" w14:textId="77777777" w:rsidR="00EB2044" w:rsidRDefault="00EB20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8883B" w14:textId="77777777" w:rsidR="00EB2044" w:rsidRDefault="00EB20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3448C" w14:textId="77777777" w:rsidR="00EB2044" w:rsidRDefault="00EB2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1EE11" w14:textId="77777777" w:rsidR="005573F2" w:rsidRDefault="005573F2" w:rsidP="00EB2044">
      <w:pPr>
        <w:spacing w:after="0" w:line="240" w:lineRule="auto"/>
      </w:pPr>
      <w:r>
        <w:separator/>
      </w:r>
    </w:p>
  </w:footnote>
  <w:footnote w:type="continuationSeparator" w:id="0">
    <w:p w14:paraId="3AD1D16F" w14:textId="77777777" w:rsidR="005573F2" w:rsidRDefault="005573F2" w:rsidP="00EB2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1D665" w14:textId="19CD7A74" w:rsidR="00EB2044" w:rsidRDefault="00EB2044">
    <w:pPr>
      <w:pStyle w:val="Header"/>
    </w:pPr>
    <w:r>
      <w:rPr>
        <w:noProof/>
      </w:rPr>
      <w:pict w14:anchorId="7ADF62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9148704" o:spid="_x0000_s1026" type="#_x0000_t75" style="position:absolute;margin-left:0;margin-top:0;width:451.15pt;height:609.15pt;z-index:-251657216;mso-position-horizontal:center;mso-position-horizontal-relative:margin;mso-position-vertical:center;mso-position-vertical-relative:margin" o:allowincell="f">
          <v:imagedata r:id="rId1" o:title="JUSTICE ON APPEAL LOGO 1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F8DE" w14:textId="66DC1279" w:rsidR="00EB2044" w:rsidRDefault="00EB2044">
    <w:pPr>
      <w:pStyle w:val="Header"/>
    </w:pPr>
    <w:r>
      <w:rPr>
        <w:noProof/>
      </w:rPr>
      <w:pict w14:anchorId="23BDAB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9148705" o:spid="_x0000_s1027" type="#_x0000_t75" style="position:absolute;margin-left:0;margin-top:0;width:451.15pt;height:609.15pt;z-index:-251656192;mso-position-horizontal:center;mso-position-horizontal-relative:margin;mso-position-vertical:center;mso-position-vertical-relative:margin" o:allowincell="f">
          <v:imagedata r:id="rId1" o:title="JUSTICE ON APPEAL LOGO 1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5F934" w14:textId="14998A0D" w:rsidR="00EB2044" w:rsidRDefault="00EB2044">
    <w:pPr>
      <w:pStyle w:val="Header"/>
    </w:pPr>
    <w:r>
      <w:rPr>
        <w:noProof/>
      </w:rPr>
      <w:pict w14:anchorId="6151CA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9148703" o:spid="_x0000_s1025" type="#_x0000_t75" style="position:absolute;margin-left:0;margin-top:0;width:451.15pt;height:609.15pt;z-index:-251658240;mso-position-horizontal:center;mso-position-horizontal-relative:margin;mso-position-vertical:center;mso-position-vertical-relative:margin" o:allowincell="f">
          <v:imagedata r:id="rId1" o:title="JUSTICE ON APPEAL LOGO 1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94897"/>
    <w:multiLevelType w:val="multilevel"/>
    <w:tmpl w:val="1DB4C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A0A25"/>
    <w:multiLevelType w:val="multilevel"/>
    <w:tmpl w:val="DA08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A7CB1"/>
    <w:multiLevelType w:val="multilevel"/>
    <w:tmpl w:val="A6DCC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42124E"/>
    <w:multiLevelType w:val="multilevel"/>
    <w:tmpl w:val="DB12C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2E38C3"/>
    <w:multiLevelType w:val="multilevel"/>
    <w:tmpl w:val="8654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A3A2E"/>
    <w:multiLevelType w:val="multilevel"/>
    <w:tmpl w:val="57C22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DC51D5"/>
    <w:multiLevelType w:val="multilevel"/>
    <w:tmpl w:val="1AE2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2B7F89"/>
    <w:multiLevelType w:val="multilevel"/>
    <w:tmpl w:val="204EA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1A444B"/>
    <w:multiLevelType w:val="multilevel"/>
    <w:tmpl w:val="5598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DD3100"/>
    <w:multiLevelType w:val="multilevel"/>
    <w:tmpl w:val="0AAE2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0179CE"/>
    <w:multiLevelType w:val="multilevel"/>
    <w:tmpl w:val="37AE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5350DC"/>
    <w:multiLevelType w:val="multilevel"/>
    <w:tmpl w:val="8A7AE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9A0A0C"/>
    <w:multiLevelType w:val="multilevel"/>
    <w:tmpl w:val="23AA9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F7622A"/>
    <w:multiLevelType w:val="multilevel"/>
    <w:tmpl w:val="76AC4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D33520"/>
    <w:multiLevelType w:val="multilevel"/>
    <w:tmpl w:val="712AF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963F9B"/>
    <w:multiLevelType w:val="multilevel"/>
    <w:tmpl w:val="CA4A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6D3CA0"/>
    <w:multiLevelType w:val="multilevel"/>
    <w:tmpl w:val="EC9EE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02158A"/>
    <w:multiLevelType w:val="multilevel"/>
    <w:tmpl w:val="081ED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486B6E"/>
    <w:multiLevelType w:val="multilevel"/>
    <w:tmpl w:val="6906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9E32DA"/>
    <w:multiLevelType w:val="multilevel"/>
    <w:tmpl w:val="44AC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CA77DA"/>
    <w:multiLevelType w:val="multilevel"/>
    <w:tmpl w:val="65B2C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5688508">
    <w:abstractNumId w:val="20"/>
  </w:num>
  <w:num w:numId="2" w16cid:durableId="1641418709">
    <w:abstractNumId w:val="18"/>
  </w:num>
  <w:num w:numId="3" w16cid:durableId="1996184441">
    <w:abstractNumId w:val="15"/>
  </w:num>
  <w:num w:numId="4" w16cid:durableId="262423767">
    <w:abstractNumId w:val="11"/>
  </w:num>
  <w:num w:numId="5" w16cid:durableId="249628797">
    <w:abstractNumId w:val="19"/>
  </w:num>
  <w:num w:numId="6" w16cid:durableId="421532661">
    <w:abstractNumId w:val="4"/>
  </w:num>
  <w:num w:numId="7" w16cid:durableId="1478839370">
    <w:abstractNumId w:val="12"/>
  </w:num>
  <w:num w:numId="8" w16cid:durableId="420417745">
    <w:abstractNumId w:val="3"/>
  </w:num>
  <w:num w:numId="9" w16cid:durableId="734668715">
    <w:abstractNumId w:val="2"/>
  </w:num>
  <w:num w:numId="10" w16cid:durableId="1237860169">
    <w:abstractNumId w:val="1"/>
  </w:num>
  <w:num w:numId="11" w16cid:durableId="526333484">
    <w:abstractNumId w:val="5"/>
  </w:num>
  <w:num w:numId="12" w16cid:durableId="684211302">
    <w:abstractNumId w:val="7"/>
  </w:num>
  <w:num w:numId="13" w16cid:durableId="843594087">
    <w:abstractNumId w:val="13"/>
  </w:num>
  <w:num w:numId="14" w16cid:durableId="1302887954">
    <w:abstractNumId w:val="16"/>
  </w:num>
  <w:num w:numId="15" w16cid:durableId="1267421030">
    <w:abstractNumId w:val="8"/>
  </w:num>
  <w:num w:numId="16" w16cid:durableId="943342362">
    <w:abstractNumId w:val="10"/>
  </w:num>
  <w:num w:numId="17" w16cid:durableId="1277833754">
    <w:abstractNumId w:val="17"/>
  </w:num>
  <w:num w:numId="18" w16cid:durableId="1131706832">
    <w:abstractNumId w:val="14"/>
  </w:num>
  <w:num w:numId="19" w16cid:durableId="2103649207">
    <w:abstractNumId w:val="6"/>
  </w:num>
  <w:num w:numId="20" w16cid:durableId="523373434">
    <w:abstractNumId w:val="9"/>
  </w:num>
  <w:num w:numId="21" w16cid:durableId="881095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044"/>
    <w:rsid w:val="003A23C4"/>
    <w:rsid w:val="005015E0"/>
    <w:rsid w:val="00517DA1"/>
    <w:rsid w:val="005573F2"/>
    <w:rsid w:val="00C46FF2"/>
    <w:rsid w:val="00C574B7"/>
    <w:rsid w:val="00EB2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C4C7E"/>
  <w15:chartTrackingRefBased/>
  <w15:docId w15:val="{D8E75C79-B652-4305-84C2-6EAB64962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2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2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2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2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2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2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2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2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0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20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044"/>
  </w:style>
  <w:style w:type="paragraph" w:styleId="Footer">
    <w:name w:val="footer"/>
    <w:basedOn w:val="Normal"/>
    <w:link w:val="FooterChar"/>
    <w:uiPriority w:val="99"/>
    <w:unhideWhenUsed/>
    <w:rsid w:val="00EB20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3217</Characters>
  <Application>Microsoft Office Word</Application>
  <DocSecurity>0</DocSecurity>
  <Lines>60</Lines>
  <Paragraphs>38</Paragraphs>
  <ScaleCrop>false</ScaleCrop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Smith</dc:creator>
  <cp:keywords/>
  <dc:description/>
  <cp:lastModifiedBy>John Smith</cp:lastModifiedBy>
  <cp:revision>1</cp:revision>
  <dcterms:created xsi:type="dcterms:W3CDTF">2026-08-19T10:36:00Z</dcterms:created>
  <dcterms:modified xsi:type="dcterms:W3CDTF">2026-08-19T10:37:00Z</dcterms:modified>
</cp:coreProperties>
</file>