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79614" w14:textId="27E13FCB" w:rsidR="00EB4F25" w:rsidRPr="009F5467" w:rsidRDefault="00EB4F25" w:rsidP="00EB4F25">
      <w:pPr>
        <w:pStyle w:val="NormalWeb"/>
        <w:rPr>
          <w:rFonts w:asciiTheme="minorHAnsi" w:hAnsiTheme="minorHAnsi" w:cstheme="minorHAnsi"/>
          <w:b/>
          <w:bCs/>
          <w:color w:val="002060"/>
          <w:kern w:val="36"/>
          <w:sz w:val="36"/>
          <w:szCs w:val="36"/>
        </w:rPr>
      </w:pPr>
      <w:r w:rsidRPr="009F5467">
        <w:rPr>
          <w:rFonts w:asciiTheme="minorHAnsi" w:hAnsiTheme="minorHAnsi" w:cstheme="minorHAnsi"/>
          <w:noProof/>
        </w:rPr>
        <w:drawing>
          <wp:inline distT="0" distB="0" distL="0" distR="0" wp14:anchorId="6166D431" wp14:editId="147263C3">
            <wp:extent cx="5734050" cy="8110855"/>
            <wp:effectExtent l="0" t="0" r="0" b="4445"/>
            <wp:docPr id="545081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081277" name="Picture 54508127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4050" cy="8110855"/>
                    </a:xfrm>
                    <a:prstGeom prst="rect">
                      <a:avLst/>
                    </a:prstGeom>
                  </pic:spPr>
                </pic:pic>
              </a:graphicData>
            </a:graphic>
          </wp:inline>
        </w:drawing>
      </w:r>
    </w:p>
    <w:p w14:paraId="5ADDD191" w14:textId="77777777" w:rsidR="00EB4F25" w:rsidRPr="009F5467" w:rsidRDefault="00EB4F25">
      <w:pPr>
        <w:rPr>
          <w:rFonts w:asciiTheme="minorHAnsi" w:eastAsia="Times New Roman" w:hAnsiTheme="minorHAnsi" w:cstheme="minorHAnsi"/>
          <w:b/>
          <w:bCs/>
          <w:color w:val="002060"/>
          <w:kern w:val="36"/>
          <w:sz w:val="36"/>
          <w:szCs w:val="36"/>
          <w:lang w:val="en-AU" w:eastAsia="en-AU"/>
        </w:rPr>
      </w:pPr>
      <w:r w:rsidRPr="009F5467">
        <w:rPr>
          <w:rFonts w:asciiTheme="minorHAnsi" w:eastAsia="Times New Roman" w:hAnsiTheme="minorHAnsi" w:cstheme="minorHAnsi"/>
          <w:b/>
          <w:bCs/>
          <w:color w:val="002060"/>
          <w:kern w:val="36"/>
          <w:sz w:val="36"/>
          <w:szCs w:val="36"/>
          <w:lang w:val="en-AU" w:eastAsia="en-AU"/>
        </w:rPr>
        <w:br w:type="page"/>
      </w:r>
    </w:p>
    <w:p w14:paraId="7BD8BD72" w14:textId="37A54892" w:rsidR="006049AB" w:rsidRPr="009F5467" w:rsidRDefault="006049AB" w:rsidP="006049AB">
      <w:pPr>
        <w:widowControl/>
        <w:autoSpaceDE/>
        <w:autoSpaceDN/>
        <w:spacing w:before="100" w:beforeAutospacing="1" w:after="100" w:afterAutospacing="1"/>
        <w:outlineLvl w:val="0"/>
        <w:rPr>
          <w:rFonts w:asciiTheme="minorHAnsi" w:eastAsia="Times New Roman" w:hAnsiTheme="minorHAnsi" w:cstheme="minorHAnsi"/>
          <w:b/>
          <w:bCs/>
          <w:color w:val="002060"/>
          <w:kern w:val="36"/>
          <w:sz w:val="36"/>
          <w:szCs w:val="36"/>
          <w:lang w:val="en-AU" w:eastAsia="en-AU"/>
        </w:rPr>
      </w:pPr>
      <w:r w:rsidRPr="009F5467">
        <w:rPr>
          <w:rFonts w:asciiTheme="minorHAnsi" w:eastAsia="Times New Roman" w:hAnsiTheme="minorHAnsi" w:cstheme="minorHAnsi"/>
          <w:b/>
          <w:bCs/>
          <w:color w:val="002060"/>
          <w:kern w:val="36"/>
          <w:sz w:val="36"/>
          <w:szCs w:val="36"/>
          <w:lang w:val="en-AU" w:eastAsia="en-AU"/>
        </w:rPr>
        <w:lastRenderedPageBreak/>
        <w:t>About the OTSi contribution</w:t>
      </w:r>
    </w:p>
    <w:p w14:paraId="0768BD91" w14:textId="145025D6" w:rsidR="00FC7FE7" w:rsidRPr="009F5467" w:rsidRDefault="00FC7FE7" w:rsidP="00EB4F25">
      <w:pPr>
        <w:rPr>
          <w:rFonts w:asciiTheme="minorHAnsi" w:eastAsia="Times New Roman" w:hAnsiTheme="minorHAnsi" w:cstheme="minorHAnsi"/>
          <w:lang w:val="en-AU" w:eastAsia="en-AU"/>
        </w:rPr>
      </w:pPr>
      <w:r w:rsidRPr="009F5467">
        <w:rPr>
          <w:rFonts w:asciiTheme="minorHAnsi" w:hAnsiTheme="minorHAnsi" w:cstheme="minorHAnsi"/>
          <w:lang w:val="en-AU" w:eastAsia="en-AU"/>
        </w:rPr>
        <w:t xml:space="preserve">OTSi welcomes the opportunity to respond to the </w:t>
      </w:r>
      <w:r w:rsidR="00B31A80" w:rsidRPr="009F5467">
        <w:rPr>
          <w:rFonts w:asciiTheme="minorHAnsi" w:hAnsiTheme="minorHAnsi" w:cstheme="minorHAnsi"/>
        </w:rPr>
        <w:t>Select Committee on Women’s Health</w:t>
      </w:r>
      <w:r w:rsidR="00EB4F25" w:rsidRPr="009F5467">
        <w:rPr>
          <w:rFonts w:asciiTheme="minorHAnsi" w:hAnsiTheme="minorHAnsi" w:cstheme="minorHAnsi"/>
        </w:rPr>
        <w:t xml:space="preserve"> c</w:t>
      </w:r>
      <w:r w:rsidR="003D42B9" w:rsidRPr="009F5467">
        <w:rPr>
          <w:rFonts w:asciiTheme="minorHAnsi" w:eastAsia="Times New Roman" w:hAnsiTheme="minorHAnsi" w:cstheme="minorHAnsi"/>
          <w:lang w:val="en-AU" w:eastAsia="en-AU"/>
        </w:rPr>
        <w:t>consultation</w:t>
      </w:r>
      <w:r w:rsidRPr="009F5467">
        <w:rPr>
          <w:rFonts w:asciiTheme="minorHAnsi" w:eastAsia="Times New Roman" w:hAnsiTheme="minorHAnsi" w:cstheme="minorHAnsi"/>
          <w:lang w:val="en-AU" w:eastAsia="en-AU"/>
        </w:rPr>
        <w:t>.</w:t>
      </w:r>
    </w:p>
    <w:p w14:paraId="171F62BF" w14:textId="54B33717" w:rsidR="006049AB" w:rsidRPr="009F5467" w:rsidRDefault="006049AB" w:rsidP="006049AB">
      <w:pPr>
        <w:spacing w:before="100" w:beforeAutospacing="1" w:after="100" w:afterAutospacing="1"/>
        <w:outlineLvl w:val="0"/>
        <w:rPr>
          <w:rFonts w:asciiTheme="minorHAnsi" w:eastAsia="Times New Roman" w:hAnsiTheme="minorHAnsi" w:cstheme="minorHAnsi"/>
          <w:kern w:val="36"/>
        </w:rPr>
      </w:pPr>
      <w:r w:rsidRPr="009F5467">
        <w:rPr>
          <w:rFonts w:asciiTheme="minorHAnsi" w:eastAsia="Times New Roman" w:hAnsiTheme="minorHAnsi" w:cstheme="minorHAnsi"/>
          <w:kern w:val="36"/>
        </w:rPr>
        <w:t xml:space="preserve">The Occupational Therapy Society for Hidden and Invisible Disability (OTSi) </w:t>
      </w:r>
      <w:r w:rsidRPr="009F5467">
        <w:rPr>
          <w:rFonts w:asciiTheme="minorHAnsi" w:eastAsia="Times New Roman" w:hAnsiTheme="minorHAnsi" w:cstheme="minorHAnsi"/>
        </w:rPr>
        <w:t xml:space="preserve">is a national society whose purpose is to enable occupational therapists who work alongside people with invisible and hidden </w:t>
      </w:r>
      <w:r w:rsidR="0015616E" w:rsidRPr="009F5467">
        <w:rPr>
          <w:rFonts w:asciiTheme="minorHAnsi" w:eastAsia="Times New Roman" w:hAnsiTheme="minorHAnsi" w:cstheme="minorHAnsi"/>
        </w:rPr>
        <w:t>disabilities</w:t>
      </w:r>
      <w:r w:rsidRPr="009F5467">
        <w:rPr>
          <w:rFonts w:asciiTheme="minorHAnsi" w:eastAsia="Times New Roman" w:hAnsiTheme="minorHAnsi" w:cstheme="minorHAnsi"/>
        </w:rPr>
        <w:t xml:space="preserve"> to reduce barriers to full participation in our world as active citizens of Australia.</w:t>
      </w:r>
    </w:p>
    <w:p w14:paraId="350E2C0A" w14:textId="7BCFF13B" w:rsidR="00C008A3" w:rsidRPr="009F5467" w:rsidRDefault="006049AB" w:rsidP="00671A80">
      <w:pPr>
        <w:widowControl/>
        <w:autoSpaceDE/>
        <w:autoSpaceDN/>
        <w:spacing w:before="100" w:beforeAutospacing="1" w:after="100" w:afterAutospacing="1"/>
        <w:rPr>
          <w:rFonts w:asciiTheme="minorHAnsi" w:eastAsia="Arial" w:hAnsiTheme="minorHAnsi" w:cstheme="minorHAnsi"/>
        </w:rPr>
      </w:pPr>
      <w:r w:rsidRPr="009F5467">
        <w:rPr>
          <w:rFonts w:asciiTheme="minorHAnsi" w:eastAsia="Times New Roman" w:hAnsiTheme="minorHAnsi" w:cstheme="minorHAnsi"/>
          <w:lang w:val="en-AU" w:eastAsia="en-AU"/>
        </w:rPr>
        <w:t>Invisible and hidden disabilities, including psychosocial disability, neurodivergence and cognitive impairment, are often poorly understood or overlooked. People with these disabilities frequently have fluctuating needs, may present as more capable than they are, and rely heavily on trusted relationships to remain engaged with services.</w:t>
      </w:r>
      <w:r w:rsidR="00C008A3" w:rsidRPr="009F5467">
        <w:rPr>
          <w:rFonts w:asciiTheme="minorHAnsi" w:eastAsia="Arial" w:hAnsiTheme="minorHAnsi" w:cstheme="minorHAnsi"/>
        </w:rPr>
        <w:t>2. An occupational perspective on women’s health</w:t>
      </w:r>
    </w:p>
    <w:p w14:paraId="77A52DF0" w14:textId="3AAE02BF" w:rsidR="00671A80" w:rsidRPr="009F5467" w:rsidRDefault="00671A80" w:rsidP="00F53295">
      <w:pPr>
        <w:pStyle w:val="Heading2"/>
        <w:rPr>
          <w:rFonts w:asciiTheme="minorHAnsi" w:hAnsiTheme="minorHAnsi" w:cstheme="minorHAnsi"/>
        </w:rPr>
      </w:pPr>
      <w:r w:rsidRPr="009F5467">
        <w:rPr>
          <w:rFonts w:asciiTheme="minorHAnsi" w:eastAsia="Arial" w:hAnsiTheme="minorHAnsi" w:cstheme="minorHAnsi"/>
        </w:rPr>
        <w:t>1. Recommendations</w:t>
      </w:r>
    </w:p>
    <w:p w14:paraId="7A26B040" w14:textId="77777777" w:rsidR="00671A80" w:rsidRPr="009F5467" w:rsidRDefault="00671A80" w:rsidP="00671A80">
      <w:pPr>
        <w:spacing w:after="140" w:line="300" w:lineRule="auto"/>
        <w:rPr>
          <w:rFonts w:asciiTheme="minorHAnsi" w:eastAsia="Arial" w:hAnsiTheme="minorHAnsi" w:cstheme="minorHAnsi"/>
        </w:rPr>
      </w:pPr>
      <w:r w:rsidRPr="009F5467">
        <w:rPr>
          <w:rFonts w:asciiTheme="minorHAnsi" w:eastAsia="Arial" w:hAnsiTheme="minorHAnsi" w:cstheme="minorHAnsi"/>
        </w:rPr>
        <w:t xml:space="preserve">OTSi   provides the Committee consider the following recommendations:  </w:t>
      </w:r>
    </w:p>
    <w:p w14:paraId="34879486" w14:textId="2B4E6934" w:rsidR="00671A80" w:rsidRPr="009F5467" w:rsidRDefault="00671A80">
      <w:pPr>
        <w:pStyle w:val="ListParagraph"/>
        <w:numPr>
          <w:ilvl w:val="0"/>
          <w:numId w:val="34"/>
        </w:numPr>
        <w:spacing w:after="140" w:line="300" w:lineRule="auto"/>
        <w:rPr>
          <w:rFonts w:asciiTheme="minorHAnsi" w:hAnsiTheme="minorHAnsi" w:cstheme="minorHAnsi"/>
        </w:rPr>
      </w:pPr>
      <w:r w:rsidRPr="009F5467">
        <w:rPr>
          <w:rFonts w:asciiTheme="minorHAnsi" w:eastAsia="Arial" w:hAnsiTheme="minorHAnsi" w:cstheme="minorHAnsi"/>
          <w:b/>
          <w:bCs/>
        </w:rPr>
        <w:t>Embed occupational therapists in maternity wards and mother-baby units</w:t>
      </w:r>
      <w:r w:rsidRPr="009F5467">
        <w:rPr>
          <w:rFonts w:asciiTheme="minorHAnsi" w:eastAsia="Arial" w:hAnsiTheme="minorHAnsi" w:cstheme="minorHAnsi"/>
        </w:rPr>
        <w:t xml:space="preserve"> as core members of multidisciplinary teams, including for functional discharge planning (items (a), (c)).</w:t>
      </w:r>
    </w:p>
    <w:p w14:paraId="5059B00C" w14:textId="52D4FB9D" w:rsidR="00671A80" w:rsidRPr="009F5467" w:rsidRDefault="00671A80">
      <w:pPr>
        <w:pStyle w:val="ListParagraph"/>
        <w:widowControl/>
        <w:numPr>
          <w:ilvl w:val="0"/>
          <w:numId w:val="33"/>
        </w:numPr>
        <w:autoSpaceDE/>
        <w:autoSpaceDN/>
        <w:spacing w:after="120" w:line="300" w:lineRule="auto"/>
        <w:rPr>
          <w:rFonts w:asciiTheme="minorHAnsi" w:hAnsiTheme="minorHAnsi" w:cstheme="minorHAnsi"/>
        </w:rPr>
      </w:pPr>
      <w:r w:rsidRPr="009F5467">
        <w:rPr>
          <w:rFonts w:asciiTheme="minorHAnsi" w:eastAsia="Arial" w:hAnsiTheme="minorHAnsi" w:cstheme="minorHAnsi"/>
          <w:b/>
          <w:bCs/>
        </w:rPr>
        <w:t>Establish formal pathways</w:t>
      </w:r>
      <w:r w:rsidRPr="009F5467">
        <w:rPr>
          <w:rFonts w:asciiTheme="minorHAnsi" w:eastAsia="Arial" w:hAnsiTheme="minorHAnsi" w:cstheme="minorHAnsi"/>
        </w:rPr>
        <w:t xml:space="preserve"> between Child and Maternal Health Nurses and occupational </w:t>
      </w:r>
      <w:proofErr w:type="gramStart"/>
      <w:r w:rsidRPr="009F5467">
        <w:rPr>
          <w:rFonts w:asciiTheme="minorHAnsi" w:eastAsia="Arial" w:hAnsiTheme="minorHAnsi" w:cstheme="minorHAnsi"/>
        </w:rPr>
        <w:t>therapists, and</w:t>
      </w:r>
      <w:proofErr w:type="gramEnd"/>
      <w:r w:rsidRPr="009F5467">
        <w:rPr>
          <w:rFonts w:asciiTheme="minorHAnsi" w:eastAsia="Arial" w:hAnsiTheme="minorHAnsi" w:cstheme="minorHAnsi"/>
        </w:rPr>
        <w:t xml:space="preserve"> include occupational therapists in community clinics (items (a), (c), (d)).</w:t>
      </w:r>
    </w:p>
    <w:p w14:paraId="1BC38E42" w14:textId="77777777" w:rsidR="00671A80" w:rsidRPr="009F5467" w:rsidRDefault="00671A80">
      <w:pPr>
        <w:pStyle w:val="ListParagraph"/>
        <w:widowControl/>
        <w:numPr>
          <w:ilvl w:val="0"/>
          <w:numId w:val="33"/>
        </w:numPr>
        <w:autoSpaceDE/>
        <w:autoSpaceDN/>
        <w:spacing w:after="120" w:line="300" w:lineRule="auto"/>
        <w:rPr>
          <w:rFonts w:asciiTheme="minorHAnsi" w:hAnsiTheme="minorHAnsi" w:cstheme="minorHAnsi"/>
        </w:rPr>
      </w:pPr>
      <w:r w:rsidRPr="009F5467">
        <w:rPr>
          <w:rFonts w:asciiTheme="minorHAnsi" w:eastAsia="Arial" w:hAnsiTheme="minorHAnsi" w:cstheme="minorHAnsi"/>
          <w:b/>
          <w:bCs/>
        </w:rPr>
        <w:t xml:space="preserve">Build collaborative referral pathways with obstetricians and </w:t>
      </w:r>
      <w:proofErr w:type="spellStart"/>
      <w:r w:rsidRPr="009F5467">
        <w:rPr>
          <w:rFonts w:asciiTheme="minorHAnsi" w:eastAsia="Arial" w:hAnsiTheme="minorHAnsi" w:cstheme="minorHAnsi"/>
          <w:b/>
          <w:bCs/>
        </w:rPr>
        <w:t>gynaecologists</w:t>
      </w:r>
      <w:proofErr w:type="spellEnd"/>
      <w:r w:rsidRPr="009F5467">
        <w:rPr>
          <w:rFonts w:asciiTheme="minorHAnsi" w:eastAsia="Arial" w:hAnsiTheme="minorHAnsi" w:cstheme="minorHAnsi"/>
        </w:rPr>
        <w:t xml:space="preserve"> for reproductive health, chronic pain and antenatal and postpartum care, including for adolescents and young women from around 15 years (items (c), (e), (</w:t>
      </w:r>
      <w:proofErr w:type="spellStart"/>
      <w:r w:rsidRPr="009F5467">
        <w:rPr>
          <w:rFonts w:asciiTheme="minorHAnsi" w:eastAsia="Arial" w:hAnsiTheme="minorHAnsi" w:cstheme="minorHAnsi"/>
        </w:rPr>
        <w:t>i</w:t>
      </w:r>
      <w:proofErr w:type="spellEnd"/>
      <w:r w:rsidRPr="009F5467">
        <w:rPr>
          <w:rFonts w:asciiTheme="minorHAnsi" w:eastAsia="Arial" w:hAnsiTheme="minorHAnsi" w:cstheme="minorHAnsi"/>
        </w:rPr>
        <w:t>), (p)).</w:t>
      </w:r>
    </w:p>
    <w:p w14:paraId="383541E9" w14:textId="70C69501" w:rsidR="00671A80" w:rsidRPr="009F5467" w:rsidRDefault="00671A80">
      <w:pPr>
        <w:pStyle w:val="ListParagraph"/>
        <w:widowControl/>
        <w:numPr>
          <w:ilvl w:val="0"/>
          <w:numId w:val="33"/>
        </w:numPr>
        <w:autoSpaceDE/>
        <w:autoSpaceDN/>
        <w:spacing w:after="120" w:line="300" w:lineRule="auto"/>
        <w:rPr>
          <w:rFonts w:asciiTheme="minorHAnsi" w:hAnsiTheme="minorHAnsi" w:cstheme="minorHAnsi"/>
        </w:rPr>
      </w:pPr>
      <w:r w:rsidRPr="009F5467">
        <w:rPr>
          <w:rFonts w:asciiTheme="minorHAnsi" w:eastAsia="Arial" w:hAnsiTheme="minorHAnsi" w:cstheme="minorHAnsi"/>
          <w:b/>
          <w:bCs/>
        </w:rPr>
        <w:t>Develop direct GP referral pathways</w:t>
      </w:r>
      <w:r w:rsidRPr="009F5467">
        <w:rPr>
          <w:rFonts w:asciiTheme="minorHAnsi" w:eastAsia="Arial" w:hAnsiTheme="minorHAnsi" w:cstheme="minorHAnsi"/>
        </w:rPr>
        <w:t xml:space="preserve"> to occupational therapy for women’s health needs with an expanded number of Medicare items beyond the limited chronic disease and mental health item numbers (item (d)).</w:t>
      </w:r>
      <w:r w:rsidR="00F53295" w:rsidRPr="009F5467">
        <w:rPr>
          <w:rFonts w:asciiTheme="minorHAnsi" w:eastAsia="Arial" w:hAnsiTheme="minorHAnsi" w:cstheme="minorHAnsi"/>
        </w:rPr>
        <w:t xml:space="preserve"> This could include pain and ADHD. </w:t>
      </w:r>
    </w:p>
    <w:p w14:paraId="66450ED5" w14:textId="6AE197F2" w:rsidR="003D42B9" w:rsidRPr="003D42B9" w:rsidRDefault="00671A80">
      <w:pPr>
        <w:pStyle w:val="ListParagraph"/>
        <w:numPr>
          <w:ilvl w:val="0"/>
          <w:numId w:val="33"/>
        </w:numPr>
        <w:rPr>
          <w:rFonts w:asciiTheme="minorHAnsi" w:hAnsiTheme="minorHAnsi" w:cstheme="minorHAnsi"/>
          <w:lang w:val="en-AU" w:eastAsia="en-AU"/>
        </w:rPr>
      </w:pPr>
      <w:r w:rsidRPr="006964C6">
        <w:rPr>
          <w:rFonts w:asciiTheme="minorHAnsi" w:eastAsia="Arial" w:hAnsiTheme="minorHAnsi" w:cstheme="minorHAnsi"/>
          <w:b/>
          <w:bCs/>
        </w:rPr>
        <w:t>Promote and fund access to occupational therapists under Medicare</w:t>
      </w:r>
      <w:r w:rsidR="003D42B9">
        <w:rPr>
          <w:rFonts w:asciiTheme="minorHAnsi" w:eastAsia="Arial" w:hAnsiTheme="minorHAnsi" w:cstheme="minorHAnsi"/>
          <w:b/>
          <w:bCs/>
        </w:rPr>
        <w:t>.</w:t>
      </w:r>
    </w:p>
    <w:p w14:paraId="2C0C1D0F" w14:textId="16E23DC5" w:rsidR="003D42B9" w:rsidRPr="003D42B9" w:rsidRDefault="003D42B9">
      <w:pPr>
        <w:pStyle w:val="ListParagraph"/>
        <w:numPr>
          <w:ilvl w:val="3"/>
          <w:numId w:val="33"/>
        </w:numPr>
        <w:rPr>
          <w:rFonts w:asciiTheme="minorHAnsi" w:hAnsiTheme="minorHAnsi" w:cstheme="minorHAnsi"/>
          <w:lang w:val="en-AU" w:eastAsia="en-AU"/>
        </w:rPr>
      </w:pPr>
      <w:r>
        <w:rPr>
          <w:rFonts w:asciiTheme="minorHAnsi" w:eastAsia="Arial" w:hAnsiTheme="minorHAnsi" w:cstheme="minorHAnsi"/>
        </w:rPr>
        <w:t>-        F</w:t>
      </w:r>
      <w:r w:rsidR="00671A80" w:rsidRPr="006964C6">
        <w:rPr>
          <w:rFonts w:asciiTheme="minorHAnsi" w:eastAsia="Arial" w:hAnsiTheme="minorHAnsi" w:cstheme="minorHAnsi"/>
        </w:rPr>
        <w:t>or women with complex mental health challenges, chronic illness and trauma (item (d)).</w:t>
      </w:r>
      <w:r w:rsidR="00F53295" w:rsidRPr="006964C6">
        <w:rPr>
          <w:rFonts w:asciiTheme="minorHAnsi" w:eastAsia="Arial" w:hAnsiTheme="minorHAnsi" w:cstheme="minorHAnsi"/>
        </w:rPr>
        <w:t xml:space="preserve"> </w:t>
      </w:r>
    </w:p>
    <w:p w14:paraId="0611CD89" w14:textId="2F237427" w:rsidR="003D42B9" w:rsidRPr="003D42B9" w:rsidRDefault="003D42B9">
      <w:pPr>
        <w:pStyle w:val="ListParagraph"/>
        <w:numPr>
          <w:ilvl w:val="3"/>
          <w:numId w:val="33"/>
        </w:numPr>
        <w:rPr>
          <w:rFonts w:asciiTheme="minorHAnsi" w:hAnsiTheme="minorHAnsi" w:cstheme="minorHAnsi"/>
          <w:lang w:val="en-AU" w:eastAsia="en-AU"/>
        </w:rPr>
      </w:pPr>
      <w:r>
        <w:rPr>
          <w:rFonts w:asciiTheme="minorHAnsi" w:eastAsia="Arial" w:hAnsiTheme="minorHAnsi" w:cstheme="minorHAnsi"/>
        </w:rPr>
        <w:t xml:space="preserve">-        </w:t>
      </w:r>
      <w:r w:rsidR="00F53295" w:rsidRPr="006964C6">
        <w:rPr>
          <w:rFonts w:asciiTheme="minorHAnsi" w:eastAsia="Arial" w:hAnsiTheme="minorHAnsi" w:cstheme="minorHAnsi"/>
        </w:rPr>
        <w:t xml:space="preserve">Streamline the </w:t>
      </w:r>
      <w:r>
        <w:rPr>
          <w:rFonts w:asciiTheme="minorHAnsi" w:eastAsia="Arial" w:hAnsiTheme="minorHAnsi" w:cstheme="minorHAnsi"/>
        </w:rPr>
        <w:t xml:space="preserve">Better Access </w:t>
      </w:r>
      <w:r w:rsidR="00F53295" w:rsidRPr="006964C6">
        <w:rPr>
          <w:rFonts w:asciiTheme="minorHAnsi" w:eastAsia="Arial" w:hAnsiTheme="minorHAnsi" w:cstheme="minorHAnsi"/>
        </w:rPr>
        <w:t>funding rebate to be equitable for Psychology, Social work and Occupational Therapy to provide women with greater choice between these allied health providers.</w:t>
      </w:r>
    </w:p>
    <w:p w14:paraId="5405F339" w14:textId="787EEA39" w:rsidR="006964C6" w:rsidRPr="006964C6" w:rsidRDefault="003D42B9">
      <w:pPr>
        <w:pStyle w:val="ListParagraph"/>
        <w:numPr>
          <w:ilvl w:val="3"/>
          <w:numId w:val="33"/>
        </w:numPr>
        <w:rPr>
          <w:rFonts w:asciiTheme="minorHAnsi" w:hAnsiTheme="minorHAnsi" w:cstheme="minorHAnsi"/>
          <w:lang w:val="en-AU" w:eastAsia="en-AU"/>
        </w:rPr>
      </w:pPr>
      <w:r>
        <w:rPr>
          <w:rFonts w:asciiTheme="minorHAnsi" w:hAnsiTheme="minorHAnsi" w:cstheme="minorHAnsi"/>
          <w:lang w:val="en-AU" w:eastAsia="en-AU"/>
        </w:rPr>
        <w:t xml:space="preserve">-        </w:t>
      </w:r>
      <w:r w:rsidR="006964C6" w:rsidRPr="006964C6">
        <w:rPr>
          <w:rFonts w:asciiTheme="minorHAnsi" w:hAnsiTheme="minorHAnsi" w:cstheme="minorHAnsi"/>
          <w:lang w:val="en-AU" w:eastAsia="en-AU"/>
        </w:rPr>
        <w:t>Review the cap of five rebated allied health sessions per calendar year under Chronic Disease Management plans, with a view to increasing it and setting it by clinical need rather than a fixed number.</w:t>
      </w:r>
    </w:p>
    <w:p w14:paraId="0350C088" w14:textId="7D70476D" w:rsidR="006964C6" w:rsidRPr="003D42B9" w:rsidRDefault="006964C6">
      <w:pPr>
        <w:pStyle w:val="ListParagraph"/>
        <w:numPr>
          <w:ilvl w:val="0"/>
          <w:numId w:val="36"/>
        </w:numPr>
        <w:rPr>
          <w:rFonts w:asciiTheme="minorHAnsi" w:hAnsiTheme="minorHAnsi" w:cstheme="minorHAnsi"/>
          <w:lang w:val="en-AU" w:eastAsia="en-AU"/>
        </w:rPr>
      </w:pPr>
      <w:r w:rsidRPr="003D42B9">
        <w:rPr>
          <w:rFonts w:asciiTheme="minorHAnsi" w:hAnsiTheme="minorHAnsi" w:cstheme="minorHAnsi"/>
          <w:lang w:val="en-AU" w:eastAsia="en-AU"/>
        </w:rPr>
        <w:t>Increase rebate levels so that out-of-pocket costs do not prevent women from completing a course of treatment.</w:t>
      </w:r>
    </w:p>
    <w:p w14:paraId="4BF6C752" w14:textId="6FE7791F" w:rsidR="006964C6" w:rsidRDefault="006964C6">
      <w:pPr>
        <w:pStyle w:val="ListParagraph"/>
        <w:numPr>
          <w:ilvl w:val="0"/>
          <w:numId w:val="36"/>
        </w:numPr>
        <w:rPr>
          <w:rFonts w:asciiTheme="minorHAnsi" w:hAnsiTheme="minorHAnsi" w:cstheme="minorHAnsi"/>
          <w:lang w:val="en-AU" w:eastAsia="en-AU"/>
        </w:rPr>
      </w:pPr>
      <w:r w:rsidRPr="003D42B9">
        <w:rPr>
          <w:rFonts w:asciiTheme="minorHAnsi" w:hAnsiTheme="minorHAnsi" w:cstheme="minorHAnsi"/>
          <w:lang w:val="en-AU" w:eastAsia="en-AU"/>
        </w:rPr>
        <w:lastRenderedPageBreak/>
        <w:t>Ensure Medicare-supported care models recognise chronic pain, pelvic pain and other conditions that disproportionately affect women as complex, multidisciplinary conditions.</w:t>
      </w:r>
    </w:p>
    <w:p w14:paraId="1FA8D939" w14:textId="3C38D21E" w:rsidR="003D42B9" w:rsidRPr="003D42B9" w:rsidRDefault="003D42B9">
      <w:pPr>
        <w:pStyle w:val="ListParagraph"/>
        <w:numPr>
          <w:ilvl w:val="0"/>
          <w:numId w:val="36"/>
        </w:numPr>
        <w:rPr>
          <w:rFonts w:asciiTheme="minorHAnsi" w:hAnsiTheme="minorHAnsi" w:cstheme="minorHAnsi"/>
          <w:lang w:val="en-AU" w:eastAsia="en-AU"/>
        </w:rPr>
      </w:pPr>
      <w:r>
        <w:rPr>
          <w:rFonts w:asciiTheme="minorHAnsi" w:hAnsiTheme="minorHAnsi" w:cstheme="minorHAnsi"/>
          <w:lang w:val="en-AU" w:eastAsia="en-AU"/>
        </w:rPr>
        <w:t xml:space="preserve">Provide group item numbers that support access to Occupational Therapy. </w:t>
      </w:r>
    </w:p>
    <w:p w14:paraId="00C6CD1B" w14:textId="55496B2F" w:rsidR="00671A80" w:rsidRPr="009F5467" w:rsidRDefault="00671A80" w:rsidP="006964C6">
      <w:pPr>
        <w:pStyle w:val="ListParagraph"/>
        <w:widowControl/>
        <w:autoSpaceDE/>
        <w:autoSpaceDN/>
        <w:spacing w:after="120" w:line="300" w:lineRule="auto"/>
        <w:ind w:left="720" w:firstLine="0"/>
        <w:rPr>
          <w:rFonts w:asciiTheme="minorHAnsi" w:hAnsiTheme="minorHAnsi" w:cstheme="minorHAnsi"/>
        </w:rPr>
      </w:pPr>
    </w:p>
    <w:p w14:paraId="65B7465E" w14:textId="4687A21D" w:rsidR="00671A80" w:rsidRPr="009F5467" w:rsidRDefault="00671A80">
      <w:pPr>
        <w:pStyle w:val="ListParagraph"/>
        <w:widowControl/>
        <w:numPr>
          <w:ilvl w:val="0"/>
          <w:numId w:val="33"/>
        </w:numPr>
        <w:autoSpaceDE/>
        <w:autoSpaceDN/>
        <w:spacing w:after="120" w:line="300" w:lineRule="auto"/>
        <w:rPr>
          <w:rFonts w:asciiTheme="minorHAnsi" w:hAnsiTheme="minorHAnsi" w:cstheme="minorHAnsi"/>
        </w:rPr>
      </w:pPr>
      <w:r w:rsidRPr="009F5467">
        <w:rPr>
          <w:rFonts w:asciiTheme="minorHAnsi" w:eastAsia="Arial" w:hAnsiTheme="minorHAnsi" w:cstheme="minorHAnsi"/>
          <w:b/>
          <w:bCs/>
        </w:rPr>
        <w:t>Integrate occupational therapists into perinatal mental health teams with assertive outreach</w:t>
      </w:r>
      <w:r w:rsidR="00F53295" w:rsidRPr="009F5467">
        <w:rPr>
          <w:rFonts w:asciiTheme="minorHAnsi" w:eastAsia="Arial" w:hAnsiTheme="minorHAnsi" w:cstheme="minorHAnsi"/>
        </w:rPr>
        <w:t xml:space="preserve">. </w:t>
      </w:r>
      <w:r w:rsidRPr="009F5467">
        <w:rPr>
          <w:rFonts w:asciiTheme="minorHAnsi" w:eastAsia="Arial" w:hAnsiTheme="minorHAnsi" w:cstheme="minorHAnsi"/>
        </w:rPr>
        <w:t>(items (a), (c)).</w:t>
      </w:r>
    </w:p>
    <w:p w14:paraId="431381E1" w14:textId="77777777" w:rsidR="00671A80" w:rsidRPr="009F5467" w:rsidRDefault="00671A80">
      <w:pPr>
        <w:pStyle w:val="ListParagraph"/>
        <w:widowControl/>
        <w:numPr>
          <w:ilvl w:val="0"/>
          <w:numId w:val="33"/>
        </w:numPr>
        <w:autoSpaceDE/>
        <w:autoSpaceDN/>
        <w:spacing w:after="120" w:line="300" w:lineRule="auto"/>
        <w:rPr>
          <w:rFonts w:asciiTheme="minorHAnsi" w:hAnsiTheme="minorHAnsi" w:cstheme="minorHAnsi"/>
        </w:rPr>
      </w:pPr>
      <w:r w:rsidRPr="009F5467">
        <w:rPr>
          <w:rFonts w:asciiTheme="minorHAnsi" w:eastAsia="Arial" w:hAnsiTheme="minorHAnsi" w:cstheme="minorHAnsi"/>
          <w:b/>
          <w:bCs/>
        </w:rPr>
        <w:t>Fund occupational therapist-facilitated group and peer interventions</w:t>
      </w:r>
      <w:r w:rsidRPr="009F5467">
        <w:rPr>
          <w:rFonts w:asciiTheme="minorHAnsi" w:eastAsia="Arial" w:hAnsiTheme="minorHAnsi" w:cstheme="minorHAnsi"/>
        </w:rPr>
        <w:t>, in person and online, in the antenatal and postpartum phases for women who do not meet the threshold for specialist care (items (a), (c), (d)).</w:t>
      </w:r>
    </w:p>
    <w:p w14:paraId="5E6A7219" w14:textId="77777777" w:rsidR="00671A80" w:rsidRPr="009F5467" w:rsidRDefault="00671A80">
      <w:pPr>
        <w:pStyle w:val="ListParagraph"/>
        <w:widowControl/>
        <w:numPr>
          <w:ilvl w:val="0"/>
          <w:numId w:val="33"/>
        </w:numPr>
        <w:autoSpaceDE/>
        <w:autoSpaceDN/>
        <w:spacing w:after="120" w:line="300" w:lineRule="auto"/>
        <w:rPr>
          <w:rFonts w:asciiTheme="minorHAnsi" w:hAnsiTheme="minorHAnsi" w:cstheme="minorHAnsi"/>
        </w:rPr>
      </w:pPr>
      <w:r w:rsidRPr="009F5467">
        <w:rPr>
          <w:rFonts w:asciiTheme="minorHAnsi" w:eastAsia="Arial" w:hAnsiTheme="minorHAnsi" w:cstheme="minorHAnsi"/>
          <w:b/>
          <w:bCs/>
        </w:rPr>
        <w:t>Include occupational therapists and hypermobility/EDS in women’s pain and pelvic health pathways</w:t>
      </w:r>
      <w:r w:rsidRPr="009F5467">
        <w:rPr>
          <w:rFonts w:asciiTheme="minorHAnsi" w:eastAsia="Arial" w:hAnsiTheme="minorHAnsi" w:cstheme="minorHAnsi"/>
        </w:rPr>
        <w:t xml:space="preserve"> and fund flexible, caring-responsibility-friendly models (items (</w:t>
      </w:r>
      <w:proofErr w:type="spellStart"/>
      <w:r w:rsidRPr="009F5467">
        <w:rPr>
          <w:rFonts w:asciiTheme="minorHAnsi" w:eastAsia="Arial" w:hAnsiTheme="minorHAnsi" w:cstheme="minorHAnsi"/>
        </w:rPr>
        <w:t>i</w:t>
      </w:r>
      <w:proofErr w:type="spellEnd"/>
      <w:r w:rsidRPr="009F5467">
        <w:rPr>
          <w:rFonts w:asciiTheme="minorHAnsi" w:eastAsia="Arial" w:hAnsiTheme="minorHAnsi" w:cstheme="minorHAnsi"/>
        </w:rPr>
        <w:t>), (j), (k)).</w:t>
      </w:r>
    </w:p>
    <w:p w14:paraId="34A80F5C" w14:textId="77777777" w:rsidR="00671A80" w:rsidRPr="009F5467" w:rsidRDefault="00671A80">
      <w:pPr>
        <w:pStyle w:val="ListParagraph"/>
        <w:widowControl/>
        <w:numPr>
          <w:ilvl w:val="0"/>
          <w:numId w:val="33"/>
        </w:numPr>
        <w:autoSpaceDE/>
        <w:autoSpaceDN/>
        <w:spacing w:after="120" w:line="300" w:lineRule="auto"/>
        <w:rPr>
          <w:rFonts w:asciiTheme="minorHAnsi" w:hAnsiTheme="minorHAnsi" w:cstheme="minorHAnsi"/>
        </w:rPr>
      </w:pPr>
      <w:r w:rsidRPr="009F5467">
        <w:rPr>
          <w:rFonts w:asciiTheme="minorHAnsi" w:eastAsia="Arial" w:hAnsiTheme="minorHAnsi" w:cstheme="minorHAnsi"/>
          <w:b/>
          <w:bCs/>
        </w:rPr>
        <w:t>Fund workforce development</w:t>
      </w:r>
      <w:r w:rsidRPr="009F5467">
        <w:rPr>
          <w:rFonts w:asciiTheme="minorHAnsi" w:eastAsia="Arial" w:hAnsiTheme="minorHAnsi" w:cstheme="minorHAnsi"/>
        </w:rPr>
        <w:t xml:space="preserve"> in the women’s health sub-specialty of occupational </w:t>
      </w:r>
      <w:proofErr w:type="gramStart"/>
      <w:r w:rsidRPr="009F5467">
        <w:rPr>
          <w:rFonts w:asciiTheme="minorHAnsi" w:eastAsia="Arial" w:hAnsiTheme="minorHAnsi" w:cstheme="minorHAnsi"/>
        </w:rPr>
        <w:t>therapy, and</w:t>
      </w:r>
      <w:proofErr w:type="gramEnd"/>
      <w:r w:rsidRPr="009F5467">
        <w:rPr>
          <w:rFonts w:asciiTheme="minorHAnsi" w:eastAsia="Arial" w:hAnsiTheme="minorHAnsi" w:cstheme="minorHAnsi"/>
        </w:rPr>
        <w:t xml:space="preserve"> require </w:t>
      </w:r>
      <w:proofErr w:type="spellStart"/>
      <w:r w:rsidRPr="009F5467">
        <w:rPr>
          <w:rFonts w:asciiTheme="minorHAnsi" w:eastAsia="Arial" w:hAnsiTheme="minorHAnsi" w:cstheme="minorHAnsi"/>
        </w:rPr>
        <w:t>neuroaffirming</w:t>
      </w:r>
      <w:proofErr w:type="spellEnd"/>
      <w:r w:rsidRPr="009F5467">
        <w:rPr>
          <w:rFonts w:asciiTheme="minorHAnsi" w:eastAsia="Arial" w:hAnsiTheme="minorHAnsi" w:cstheme="minorHAnsi"/>
        </w:rPr>
        <w:t xml:space="preserve"> and trauma-informed training for professionals in maternal care (item (f)).</w:t>
      </w:r>
    </w:p>
    <w:p w14:paraId="2E6213F1" w14:textId="77777777" w:rsidR="00671A80" w:rsidRPr="009F5467" w:rsidRDefault="00671A80">
      <w:pPr>
        <w:pStyle w:val="ListParagraph"/>
        <w:widowControl/>
        <w:numPr>
          <w:ilvl w:val="0"/>
          <w:numId w:val="33"/>
        </w:numPr>
        <w:autoSpaceDE/>
        <w:autoSpaceDN/>
        <w:spacing w:after="120" w:line="300" w:lineRule="auto"/>
        <w:rPr>
          <w:rFonts w:asciiTheme="minorHAnsi" w:hAnsiTheme="minorHAnsi" w:cstheme="minorHAnsi"/>
        </w:rPr>
      </w:pPr>
      <w:r w:rsidRPr="009F5467">
        <w:rPr>
          <w:rFonts w:asciiTheme="minorHAnsi" w:eastAsia="Arial" w:hAnsiTheme="minorHAnsi" w:cstheme="minorHAnsi"/>
          <w:b/>
          <w:bCs/>
        </w:rPr>
        <w:t>Fund and expand telehealth, online workshops and self-paced learning</w:t>
      </w:r>
      <w:r w:rsidRPr="009F5467">
        <w:rPr>
          <w:rFonts w:asciiTheme="minorHAnsi" w:eastAsia="Arial" w:hAnsiTheme="minorHAnsi" w:cstheme="minorHAnsi"/>
        </w:rPr>
        <w:t xml:space="preserve"> so that women in regional and remote areas can access </w:t>
      </w:r>
      <w:proofErr w:type="spellStart"/>
      <w:r w:rsidRPr="009F5467">
        <w:rPr>
          <w:rFonts w:asciiTheme="minorHAnsi" w:eastAsia="Arial" w:hAnsiTheme="minorHAnsi" w:cstheme="minorHAnsi"/>
        </w:rPr>
        <w:t>specialised</w:t>
      </w:r>
      <w:proofErr w:type="spellEnd"/>
      <w:r w:rsidRPr="009F5467">
        <w:rPr>
          <w:rFonts w:asciiTheme="minorHAnsi" w:eastAsia="Arial" w:hAnsiTheme="minorHAnsi" w:cstheme="minorHAnsi"/>
        </w:rPr>
        <w:t xml:space="preserve"> care (item (d)).</w:t>
      </w:r>
    </w:p>
    <w:p w14:paraId="03A3BE06" w14:textId="77777777" w:rsidR="00671A80" w:rsidRPr="009F5467" w:rsidRDefault="00671A80">
      <w:pPr>
        <w:pStyle w:val="ListParagraph"/>
        <w:widowControl/>
        <w:numPr>
          <w:ilvl w:val="0"/>
          <w:numId w:val="33"/>
        </w:numPr>
        <w:autoSpaceDE/>
        <w:autoSpaceDN/>
        <w:spacing w:after="120" w:line="300" w:lineRule="auto"/>
        <w:rPr>
          <w:rFonts w:asciiTheme="minorHAnsi" w:hAnsiTheme="minorHAnsi" w:cstheme="minorHAnsi"/>
        </w:rPr>
      </w:pPr>
      <w:r w:rsidRPr="009F5467">
        <w:rPr>
          <w:rFonts w:asciiTheme="minorHAnsi" w:eastAsia="Arial" w:hAnsiTheme="minorHAnsi" w:cstheme="minorHAnsi"/>
          <w:b/>
          <w:bCs/>
        </w:rPr>
        <w:t>Improve data collection and research</w:t>
      </w:r>
      <w:r w:rsidRPr="009F5467">
        <w:rPr>
          <w:rFonts w:asciiTheme="minorHAnsi" w:eastAsia="Arial" w:hAnsiTheme="minorHAnsi" w:cstheme="minorHAnsi"/>
        </w:rPr>
        <w:t>, including disaggregated data on disability, First Nations status, cultural background and location, and funding for occupational therapy research in women’s health (items (f), (h)).</w:t>
      </w:r>
    </w:p>
    <w:p w14:paraId="3BBDABDF" w14:textId="77777777" w:rsidR="00671A80" w:rsidRPr="009F5467" w:rsidRDefault="00671A80">
      <w:pPr>
        <w:pStyle w:val="ListParagraph"/>
        <w:widowControl/>
        <w:numPr>
          <w:ilvl w:val="0"/>
          <w:numId w:val="33"/>
        </w:numPr>
        <w:autoSpaceDE/>
        <w:autoSpaceDN/>
        <w:spacing w:after="120" w:line="300" w:lineRule="auto"/>
        <w:rPr>
          <w:rFonts w:asciiTheme="minorHAnsi" w:hAnsiTheme="minorHAnsi" w:cstheme="minorHAnsi"/>
        </w:rPr>
      </w:pPr>
      <w:r w:rsidRPr="009F5467">
        <w:rPr>
          <w:rFonts w:asciiTheme="minorHAnsi" w:eastAsia="Arial" w:hAnsiTheme="minorHAnsi" w:cstheme="minorHAnsi"/>
          <w:b/>
          <w:bCs/>
        </w:rPr>
        <w:t>Adopt the design principles in section 2.3</w:t>
      </w:r>
      <w:r w:rsidRPr="009F5467">
        <w:rPr>
          <w:rFonts w:asciiTheme="minorHAnsi" w:eastAsia="Arial" w:hAnsiTheme="minorHAnsi" w:cstheme="minorHAnsi"/>
        </w:rPr>
        <w:t xml:space="preserve"> (local, relationship-based, continuity, choice and control, </w:t>
      </w:r>
      <w:proofErr w:type="spellStart"/>
      <w:r w:rsidRPr="009F5467">
        <w:rPr>
          <w:rFonts w:asciiTheme="minorHAnsi" w:eastAsia="Arial" w:hAnsiTheme="minorHAnsi" w:cstheme="minorHAnsi"/>
        </w:rPr>
        <w:t>neuroaffirming</w:t>
      </w:r>
      <w:proofErr w:type="spellEnd"/>
      <w:r w:rsidRPr="009F5467">
        <w:rPr>
          <w:rFonts w:asciiTheme="minorHAnsi" w:eastAsia="Arial" w:hAnsiTheme="minorHAnsi" w:cstheme="minorHAnsi"/>
        </w:rPr>
        <w:t xml:space="preserve"> and trauma-informed, flexible) for any new women’s health </w:t>
      </w:r>
      <w:proofErr w:type="gramStart"/>
      <w:r w:rsidRPr="009F5467">
        <w:rPr>
          <w:rFonts w:asciiTheme="minorHAnsi" w:eastAsia="Arial" w:hAnsiTheme="minorHAnsi" w:cstheme="minorHAnsi"/>
        </w:rPr>
        <w:t>program, and</w:t>
      </w:r>
      <w:proofErr w:type="gramEnd"/>
      <w:r w:rsidRPr="009F5467">
        <w:rPr>
          <w:rFonts w:asciiTheme="minorHAnsi" w:eastAsia="Arial" w:hAnsiTheme="minorHAnsi" w:cstheme="minorHAnsi"/>
        </w:rPr>
        <w:t xml:space="preserve"> ensure complaints and monitoring processes are accessible to women with hidden and invisible disabilities (items (g), (n), (o)).</w:t>
      </w:r>
    </w:p>
    <w:p w14:paraId="76774C9F" w14:textId="1AC06D98" w:rsidR="00671A80" w:rsidRPr="009F5467" w:rsidRDefault="00F53295">
      <w:pPr>
        <w:pStyle w:val="ListParagraph"/>
        <w:numPr>
          <w:ilvl w:val="0"/>
          <w:numId w:val="33"/>
        </w:numPr>
        <w:spacing w:before="100" w:beforeAutospacing="1" w:after="100" w:afterAutospacing="1"/>
        <w:rPr>
          <w:rFonts w:asciiTheme="minorHAnsi" w:eastAsia="Times New Roman" w:hAnsiTheme="minorHAnsi" w:cstheme="minorHAnsi"/>
        </w:rPr>
      </w:pPr>
      <w:r w:rsidRPr="009F5467">
        <w:rPr>
          <w:rFonts w:asciiTheme="minorHAnsi" w:eastAsia="Times New Roman" w:hAnsiTheme="minorHAnsi" w:cstheme="minorHAnsi"/>
          <w:b/>
          <w:bCs/>
        </w:rPr>
        <w:t xml:space="preserve">Review </w:t>
      </w:r>
      <w:proofErr w:type="spellStart"/>
      <w:r w:rsidR="00671A80" w:rsidRPr="009F5467">
        <w:rPr>
          <w:rFonts w:asciiTheme="minorHAnsi" w:eastAsia="Times New Roman" w:hAnsiTheme="minorHAnsi" w:cstheme="minorHAnsi"/>
          <w:b/>
          <w:bCs/>
        </w:rPr>
        <w:t>standardised</w:t>
      </w:r>
      <w:proofErr w:type="spellEnd"/>
      <w:r w:rsidR="00671A80" w:rsidRPr="009F5467">
        <w:rPr>
          <w:rFonts w:asciiTheme="minorHAnsi" w:eastAsia="Times New Roman" w:hAnsiTheme="minorHAnsi" w:cstheme="minorHAnsi"/>
          <w:b/>
          <w:bCs/>
        </w:rPr>
        <w:t xml:space="preserve"> assessments </w:t>
      </w:r>
      <w:r w:rsidR="00671A80" w:rsidRPr="009F5467">
        <w:rPr>
          <w:rFonts w:asciiTheme="minorHAnsi" w:eastAsia="Times New Roman" w:hAnsiTheme="minorHAnsi" w:cstheme="minorHAnsi"/>
        </w:rPr>
        <w:t xml:space="preserve">used to determine access to funding schemes or services for potential gender bias, and </w:t>
      </w:r>
      <w:r w:rsidRPr="009F5467">
        <w:rPr>
          <w:rFonts w:asciiTheme="minorHAnsi" w:eastAsia="Times New Roman" w:hAnsiTheme="minorHAnsi" w:cstheme="minorHAnsi"/>
        </w:rPr>
        <w:t>revise</w:t>
      </w:r>
      <w:r w:rsidR="00671A80" w:rsidRPr="009F5467">
        <w:rPr>
          <w:rFonts w:asciiTheme="minorHAnsi" w:eastAsia="Times New Roman" w:hAnsiTheme="minorHAnsi" w:cstheme="minorHAnsi"/>
        </w:rPr>
        <w:t xml:space="preserve"> where necessary to reflect the different ways mental illness, autism and ADHD present in women and girls.</w:t>
      </w:r>
    </w:p>
    <w:p w14:paraId="59C35BF5" w14:textId="77777777" w:rsidR="00671A80" w:rsidRPr="009F5467" w:rsidRDefault="00671A80" w:rsidP="00F53295">
      <w:pPr>
        <w:spacing w:before="100" w:beforeAutospacing="1" w:after="100" w:afterAutospacing="1"/>
        <w:ind w:left="720"/>
        <w:rPr>
          <w:rFonts w:asciiTheme="minorHAnsi" w:eastAsia="Times New Roman" w:hAnsiTheme="minorHAnsi" w:cstheme="minorHAnsi"/>
        </w:rPr>
      </w:pPr>
      <w:proofErr w:type="gramStart"/>
      <w:r w:rsidRPr="009F5467">
        <w:rPr>
          <w:rFonts w:asciiTheme="minorHAnsi" w:eastAsia="Times New Roman" w:hAnsiTheme="minorHAnsi" w:cstheme="minorHAnsi"/>
        </w:rPr>
        <w:t>In particular, assessment</w:t>
      </w:r>
      <w:proofErr w:type="gramEnd"/>
      <w:r w:rsidRPr="009F5467">
        <w:rPr>
          <w:rFonts w:asciiTheme="minorHAnsi" w:eastAsia="Times New Roman" w:hAnsiTheme="minorHAnsi" w:cstheme="minorHAnsi"/>
        </w:rPr>
        <w:t xml:space="preserve"> tools and diagnostic criteria should:</w:t>
      </w:r>
    </w:p>
    <w:p w14:paraId="36ABAAEF" w14:textId="77777777" w:rsidR="00671A80" w:rsidRPr="009F5467" w:rsidRDefault="00671A80">
      <w:pPr>
        <w:widowControl/>
        <w:numPr>
          <w:ilvl w:val="0"/>
          <w:numId w:val="37"/>
        </w:numPr>
        <w:autoSpaceDE/>
        <w:autoSpaceDN/>
        <w:spacing w:before="100" w:beforeAutospacing="1" w:after="100" w:afterAutospacing="1"/>
        <w:rPr>
          <w:rFonts w:asciiTheme="minorHAnsi" w:eastAsia="Times New Roman" w:hAnsiTheme="minorHAnsi" w:cstheme="minorHAnsi"/>
        </w:rPr>
      </w:pPr>
      <w:r w:rsidRPr="009F5467">
        <w:rPr>
          <w:rFonts w:asciiTheme="minorHAnsi" w:eastAsia="Times New Roman" w:hAnsiTheme="minorHAnsi" w:cstheme="minorHAnsi"/>
        </w:rPr>
        <w:t>Be independently reviewed for gender bias, including how they were developed, who they were normed on, and whether they perform equally well across genders.</w:t>
      </w:r>
    </w:p>
    <w:p w14:paraId="72C95FFF" w14:textId="77777777" w:rsidR="00671A80" w:rsidRPr="009F5467" w:rsidRDefault="00671A80">
      <w:pPr>
        <w:widowControl/>
        <w:numPr>
          <w:ilvl w:val="0"/>
          <w:numId w:val="37"/>
        </w:numPr>
        <w:autoSpaceDE/>
        <w:autoSpaceDN/>
        <w:spacing w:before="100" w:beforeAutospacing="1" w:after="100" w:afterAutospacing="1"/>
        <w:rPr>
          <w:rFonts w:asciiTheme="minorHAnsi" w:eastAsia="Times New Roman" w:hAnsiTheme="minorHAnsi" w:cstheme="minorHAnsi"/>
        </w:rPr>
      </w:pPr>
      <w:r w:rsidRPr="009F5467">
        <w:rPr>
          <w:rFonts w:asciiTheme="minorHAnsi" w:eastAsia="Times New Roman" w:hAnsiTheme="minorHAnsi" w:cstheme="minorHAnsi"/>
        </w:rPr>
        <w:t xml:space="preserve">Explicitly account for sex- and gender-based differences in presentation, including </w:t>
      </w:r>
      <w:proofErr w:type="spellStart"/>
      <w:r w:rsidRPr="009F5467">
        <w:rPr>
          <w:rFonts w:asciiTheme="minorHAnsi" w:eastAsia="Times New Roman" w:hAnsiTheme="minorHAnsi" w:cstheme="minorHAnsi"/>
        </w:rPr>
        <w:t>internalised</w:t>
      </w:r>
      <w:proofErr w:type="spellEnd"/>
      <w:r w:rsidRPr="009F5467">
        <w:rPr>
          <w:rFonts w:asciiTheme="minorHAnsi" w:eastAsia="Times New Roman" w:hAnsiTheme="minorHAnsi" w:cstheme="minorHAnsi"/>
        </w:rPr>
        <w:t xml:space="preserve"> symptoms and “masking” or camouflaging </w:t>
      </w:r>
      <w:proofErr w:type="spellStart"/>
      <w:r w:rsidRPr="009F5467">
        <w:rPr>
          <w:rFonts w:asciiTheme="minorHAnsi" w:eastAsia="Times New Roman" w:hAnsiTheme="minorHAnsi" w:cstheme="minorHAnsi"/>
        </w:rPr>
        <w:t>behaviours</w:t>
      </w:r>
      <w:proofErr w:type="spellEnd"/>
      <w:r w:rsidRPr="009F5467">
        <w:rPr>
          <w:rFonts w:asciiTheme="minorHAnsi" w:eastAsia="Times New Roman" w:hAnsiTheme="minorHAnsi" w:cstheme="minorHAnsi"/>
        </w:rPr>
        <w:t>.</w:t>
      </w:r>
    </w:p>
    <w:p w14:paraId="3274BD49" w14:textId="77777777" w:rsidR="00671A80" w:rsidRPr="009F5467" w:rsidRDefault="00671A80">
      <w:pPr>
        <w:widowControl/>
        <w:numPr>
          <w:ilvl w:val="0"/>
          <w:numId w:val="37"/>
        </w:numPr>
        <w:autoSpaceDE/>
        <w:autoSpaceDN/>
        <w:spacing w:before="100" w:beforeAutospacing="1" w:after="100" w:afterAutospacing="1"/>
        <w:rPr>
          <w:rFonts w:asciiTheme="minorHAnsi" w:eastAsia="Times New Roman" w:hAnsiTheme="minorHAnsi" w:cstheme="minorHAnsi"/>
        </w:rPr>
      </w:pPr>
      <w:r w:rsidRPr="009F5467">
        <w:rPr>
          <w:rFonts w:asciiTheme="minorHAnsi" w:eastAsia="Times New Roman" w:hAnsiTheme="minorHAnsi" w:cstheme="minorHAnsi"/>
        </w:rPr>
        <w:t xml:space="preserve">Be applied by assessors trained to recognise these differences, with </w:t>
      </w:r>
      <w:proofErr w:type="gramStart"/>
      <w:r w:rsidRPr="009F5467">
        <w:rPr>
          <w:rFonts w:asciiTheme="minorHAnsi" w:eastAsia="Times New Roman" w:hAnsiTheme="minorHAnsi" w:cstheme="minorHAnsi"/>
        </w:rPr>
        <w:t>particular priority</w:t>
      </w:r>
      <w:proofErr w:type="gramEnd"/>
      <w:r w:rsidRPr="009F5467">
        <w:rPr>
          <w:rFonts w:asciiTheme="minorHAnsi" w:eastAsia="Times New Roman" w:hAnsiTheme="minorHAnsi" w:cstheme="minorHAnsi"/>
        </w:rPr>
        <w:t xml:space="preserve"> given to assessments that determine eligibility for </w:t>
      </w:r>
      <w:proofErr w:type="gramStart"/>
      <w:r w:rsidRPr="009F5467">
        <w:rPr>
          <w:rFonts w:asciiTheme="minorHAnsi" w:eastAsia="Times New Roman" w:hAnsiTheme="minorHAnsi" w:cstheme="minorHAnsi"/>
        </w:rPr>
        <w:t>supports</w:t>
      </w:r>
      <w:proofErr w:type="gramEnd"/>
      <w:r w:rsidRPr="009F5467">
        <w:rPr>
          <w:rFonts w:asciiTheme="minorHAnsi" w:eastAsia="Times New Roman" w:hAnsiTheme="minorHAnsi" w:cstheme="minorHAnsi"/>
        </w:rPr>
        <w:t xml:space="preserve"> and funding.</w:t>
      </w:r>
    </w:p>
    <w:p w14:paraId="438E78E7" w14:textId="77777777" w:rsidR="00671A80" w:rsidRPr="009F5467" w:rsidRDefault="00671A80" w:rsidP="00F53295">
      <w:pPr>
        <w:widowControl/>
        <w:autoSpaceDE/>
        <w:autoSpaceDN/>
        <w:spacing w:after="120" w:line="300" w:lineRule="auto"/>
        <w:rPr>
          <w:rFonts w:asciiTheme="minorHAnsi" w:hAnsiTheme="minorHAnsi" w:cstheme="minorHAnsi"/>
        </w:rPr>
      </w:pPr>
    </w:p>
    <w:p w14:paraId="4BC11886" w14:textId="77777777" w:rsidR="00671A80" w:rsidRPr="009F5467" w:rsidRDefault="00671A80" w:rsidP="00671A80">
      <w:pPr>
        <w:spacing w:before="200" w:after="140" w:line="300" w:lineRule="auto"/>
        <w:rPr>
          <w:rFonts w:asciiTheme="minorHAnsi" w:hAnsiTheme="minorHAnsi" w:cstheme="minorHAnsi"/>
        </w:rPr>
      </w:pPr>
      <w:r w:rsidRPr="009F5467">
        <w:rPr>
          <w:rFonts w:asciiTheme="minorHAnsi" w:eastAsia="Arial" w:hAnsiTheme="minorHAnsi" w:cstheme="minorHAnsi"/>
        </w:rPr>
        <w:lastRenderedPageBreak/>
        <w:t xml:space="preserve">Thank you for the opportunity to make this submission. We would welcome the </w:t>
      </w:r>
      <w:r w:rsidRPr="009F5467">
        <w:rPr>
          <w:rFonts w:asciiTheme="minorHAnsi" w:hAnsiTheme="minorHAnsi" w:cstheme="minorHAnsi"/>
        </w:rPr>
        <w:t>opportunity</w:t>
      </w:r>
      <w:r w:rsidRPr="009F5467">
        <w:rPr>
          <w:rFonts w:asciiTheme="minorHAnsi" w:eastAsia="Arial" w:hAnsiTheme="minorHAnsi" w:cstheme="minorHAnsi"/>
        </w:rPr>
        <w:t xml:space="preserve"> to give evidence to the Committee.</w:t>
      </w:r>
    </w:p>
    <w:p w14:paraId="6753643D" w14:textId="77777777" w:rsidR="00671A80" w:rsidRPr="009F5467" w:rsidRDefault="00671A80" w:rsidP="00671A80">
      <w:pPr>
        <w:pStyle w:val="ListParagraph"/>
        <w:widowControl/>
        <w:autoSpaceDE/>
        <w:autoSpaceDN/>
        <w:spacing w:before="100" w:beforeAutospacing="1" w:after="100" w:afterAutospacing="1"/>
        <w:ind w:left="720" w:firstLine="0"/>
        <w:rPr>
          <w:rFonts w:asciiTheme="minorHAnsi" w:hAnsiTheme="minorHAnsi" w:cstheme="minorHAnsi"/>
        </w:rPr>
      </w:pPr>
    </w:p>
    <w:p w14:paraId="7BBC4D87" w14:textId="47D42B77" w:rsidR="00C008A3" w:rsidRDefault="00C008A3" w:rsidP="00C008A3">
      <w:pPr>
        <w:pStyle w:val="Heading2"/>
        <w:rPr>
          <w:rFonts w:asciiTheme="minorHAnsi" w:eastAsia="Arial" w:hAnsiTheme="minorHAnsi" w:cstheme="minorHAnsi"/>
        </w:rPr>
      </w:pPr>
      <w:r w:rsidRPr="009F5467">
        <w:rPr>
          <w:rFonts w:asciiTheme="minorHAnsi" w:eastAsia="Arial" w:hAnsiTheme="minorHAnsi" w:cstheme="minorHAnsi"/>
        </w:rPr>
        <w:t>2</w:t>
      </w:r>
      <w:r w:rsidR="00C0279B">
        <w:rPr>
          <w:rFonts w:asciiTheme="minorHAnsi" w:eastAsia="Arial" w:hAnsiTheme="minorHAnsi" w:cstheme="minorHAnsi"/>
        </w:rPr>
        <w:t xml:space="preserve"> Overview of women’s health needs</w:t>
      </w:r>
    </w:p>
    <w:p w14:paraId="2B5CA2A1" w14:textId="196BE395" w:rsidR="00C0279B" w:rsidRPr="00C0279B" w:rsidRDefault="00C0279B" w:rsidP="00C0279B">
      <w:pPr>
        <w:pStyle w:val="Heading4"/>
      </w:pPr>
      <w:r w:rsidRPr="00C0279B">
        <w:t>Occupational Therapy</w:t>
      </w:r>
    </w:p>
    <w:p w14:paraId="01F72257" w14:textId="77777777" w:rsidR="00C008A3" w:rsidRPr="009F5467" w:rsidRDefault="00C008A3" w:rsidP="00C008A3">
      <w:pPr>
        <w:spacing w:after="140" w:line="300" w:lineRule="auto"/>
        <w:rPr>
          <w:rFonts w:asciiTheme="minorHAnsi" w:hAnsiTheme="minorHAnsi" w:cstheme="minorHAnsi"/>
        </w:rPr>
      </w:pPr>
      <w:r w:rsidRPr="009F5467">
        <w:rPr>
          <w:rFonts w:asciiTheme="minorHAnsi" w:eastAsia="Arial" w:hAnsiTheme="minorHAnsi" w:cstheme="minorHAnsi"/>
        </w:rPr>
        <w:t xml:space="preserve">Occupational therapy is concerned with occupational performance, occupational engagement and occupational identity: what a person needs and wants to do, how well they can do it in their environment, and who they understand themselves to be through what they do. A scoping review of 52 sources on occupational therapy in chronic pain found that the </w:t>
      </w:r>
      <w:proofErr w:type="gramStart"/>
      <w:r w:rsidRPr="009F5467">
        <w:rPr>
          <w:rFonts w:asciiTheme="minorHAnsi" w:eastAsia="Arial" w:hAnsiTheme="minorHAnsi" w:cstheme="minorHAnsi"/>
        </w:rPr>
        <w:t>most commonly described</w:t>
      </w:r>
      <w:proofErr w:type="gramEnd"/>
      <w:r w:rsidRPr="009F5467">
        <w:rPr>
          <w:rFonts w:asciiTheme="minorHAnsi" w:eastAsia="Arial" w:hAnsiTheme="minorHAnsi" w:cstheme="minorHAnsi"/>
        </w:rPr>
        <w:t xml:space="preserve"> role was improving activities and participation (Lagueux et al., 2018). </w:t>
      </w:r>
    </w:p>
    <w:p w14:paraId="00ED2579" w14:textId="0D348806" w:rsidR="00C008A3" w:rsidRPr="009F5467" w:rsidRDefault="00C008A3" w:rsidP="00C008A3">
      <w:pPr>
        <w:spacing w:after="140" w:line="300" w:lineRule="auto"/>
        <w:rPr>
          <w:rFonts w:asciiTheme="minorHAnsi" w:hAnsiTheme="minorHAnsi" w:cstheme="minorHAnsi"/>
        </w:rPr>
      </w:pPr>
      <w:r w:rsidRPr="009F5467">
        <w:rPr>
          <w:rFonts w:asciiTheme="minorHAnsi" w:eastAsia="Arial" w:hAnsiTheme="minorHAnsi" w:cstheme="minorHAnsi"/>
        </w:rPr>
        <w:t>The same perspective applies across women’s health. A woman with persistent pelvic girdle pain after birth, a woman navigating postpartum anxiety, and a woman in perimenopause who is struggling at work are all experiencing disrupted occupation, whatever the underlying diagnosis.</w:t>
      </w:r>
      <w:r w:rsidR="00F53295" w:rsidRPr="009F5467">
        <w:rPr>
          <w:rFonts w:asciiTheme="minorHAnsi" w:eastAsia="Arial" w:hAnsiTheme="minorHAnsi" w:cstheme="minorHAnsi"/>
        </w:rPr>
        <w:t xml:space="preserve"> Occupational Therapists identify the impact of </w:t>
      </w:r>
      <w:proofErr w:type="gramStart"/>
      <w:r w:rsidR="00F53295" w:rsidRPr="009F5467">
        <w:rPr>
          <w:rFonts w:asciiTheme="minorHAnsi" w:eastAsia="Arial" w:hAnsiTheme="minorHAnsi" w:cstheme="minorHAnsi"/>
        </w:rPr>
        <w:t>the medical</w:t>
      </w:r>
      <w:proofErr w:type="gramEnd"/>
      <w:r w:rsidR="00F53295" w:rsidRPr="009F5467">
        <w:rPr>
          <w:rFonts w:asciiTheme="minorHAnsi" w:eastAsia="Arial" w:hAnsiTheme="minorHAnsi" w:cstheme="minorHAnsi"/>
        </w:rPr>
        <w:t xml:space="preserve"> condition on occupations and provide interventions to improve occupational participation and engagement. </w:t>
      </w:r>
    </w:p>
    <w:p w14:paraId="24C33979" w14:textId="312E4A56" w:rsidR="00C008A3" w:rsidRPr="009F5467" w:rsidRDefault="00C008A3" w:rsidP="00C0279B">
      <w:pPr>
        <w:pStyle w:val="Heading4"/>
      </w:pPr>
      <w:r w:rsidRPr="009F5467">
        <w:t>Hidden and invisible needs</w:t>
      </w:r>
    </w:p>
    <w:p w14:paraId="7080AF5D" w14:textId="7AD71A0D" w:rsidR="00C008A3" w:rsidRPr="009F5467" w:rsidRDefault="00F53295" w:rsidP="00C008A3">
      <w:pPr>
        <w:spacing w:after="140" w:line="300" w:lineRule="auto"/>
        <w:rPr>
          <w:rFonts w:asciiTheme="minorHAnsi" w:hAnsiTheme="minorHAnsi" w:cstheme="minorHAnsi"/>
        </w:rPr>
      </w:pPr>
      <w:r w:rsidRPr="009F5467">
        <w:rPr>
          <w:rFonts w:asciiTheme="minorHAnsi" w:eastAsia="Arial" w:hAnsiTheme="minorHAnsi" w:cstheme="minorHAnsi"/>
        </w:rPr>
        <w:t xml:space="preserve">Women with </w:t>
      </w:r>
      <w:r w:rsidR="00C008A3" w:rsidRPr="009F5467">
        <w:rPr>
          <w:rFonts w:asciiTheme="minorHAnsi" w:eastAsia="Arial" w:hAnsiTheme="minorHAnsi" w:cstheme="minorHAnsi"/>
        </w:rPr>
        <w:t xml:space="preserve">Invisible and hidden disabilities, including psychosocial disability, neurodivergence and cognitive impairment, are often poorly understood or overlooked. Women with these needs frequently have fluctuating needs, </w:t>
      </w:r>
      <w:r w:rsidRPr="009F5467">
        <w:rPr>
          <w:rFonts w:asciiTheme="minorHAnsi" w:eastAsia="Arial" w:hAnsiTheme="minorHAnsi" w:cstheme="minorHAnsi"/>
        </w:rPr>
        <w:t xml:space="preserve">and their needs may not present in a way that describes the extent of their challenge. Women with autism may </w:t>
      </w:r>
      <w:r w:rsidR="009F5467" w:rsidRPr="009F5467">
        <w:rPr>
          <w:rFonts w:asciiTheme="minorHAnsi" w:eastAsia="Arial" w:hAnsiTheme="minorHAnsi" w:cstheme="minorHAnsi"/>
        </w:rPr>
        <w:t>present with</w:t>
      </w:r>
      <w:r w:rsidRPr="009F5467">
        <w:rPr>
          <w:rFonts w:asciiTheme="minorHAnsi" w:eastAsia="Arial" w:hAnsiTheme="minorHAnsi" w:cstheme="minorHAnsi"/>
        </w:rPr>
        <w:t xml:space="preserve"> a high tolerance to pain</w:t>
      </w:r>
      <w:r w:rsidR="009F5467" w:rsidRPr="009F5467">
        <w:rPr>
          <w:rFonts w:asciiTheme="minorHAnsi" w:eastAsia="Arial" w:hAnsiTheme="minorHAnsi" w:cstheme="minorHAnsi"/>
        </w:rPr>
        <w:t>.</w:t>
      </w:r>
      <w:r w:rsidRPr="009F5467">
        <w:rPr>
          <w:rFonts w:asciiTheme="minorHAnsi" w:eastAsia="Arial" w:hAnsiTheme="minorHAnsi" w:cstheme="minorHAnsi"/>
        </w:rPr>
        <w:t xml:space="preserve"> Women with ADHD may find it challenging to describe times and duration of their pain and other healthcare needs. </w:t>
      </w:r>
      <w:r w:rsidR="00C008A3" w:rsidRPr="009F5467">
        <w:rPr>
          <w:rFonts w:asciiTheme="minorHAnsi" w:eastAsia="Arial" w:hAnsiTheme="minorHAnsi" w:cstheme="minorHAnsi"/>
        </w:rPr>
        <w:t xml:space="preserve">Systems </w:t>
      </w:r>
      <w:r w:rsidR="009F5467" w:rsidRPr="009F5467">
        <w:rPr>
          <w:rFonts w:asciiTheme="minorHAnsi" w:eastAsia="Arial" w:hAnsiTheme="minorHAnsi" w:cstheme="minorHAnsi"/>
        </w:rPr>
        <w:t>that do not understand and respond to these needs</w:t>
      </w:r>
      <w:r w:rsidR="00C008A3" w:rsidRPr="009F5467">
        <w:rPr>
          <w:rFonts w:asciiTheme="minorHAnsi" w:eastAsia="Arial" w:hAnsiTheme="minorHAnsi" w:cstheme="minorHAnsi"/>
        </w:rPr>
        <w:t xml:space="preserve"> will lose the women who most need support.</w:t>
      </w:r>
    </w:p>
    <w:p w14:paraId="13D47CBC" w14:textId="5C1ECF3B" w:rsidR="00C008A3" w:rsidRPr="009F5467" w:rsidRDefault="009F5467" w:rsidP="00C0279B">
      <w:pPr>
        <w:pStyle w:val="Heading4"/>
      </w:pPr>
      <w:r w:rsidRPr="009F5467">
        <w:t>Design principles</w:t>
      </w:r>
    </w:p>
    <w:p w14:paraId="59C1F06B" w14:textId="160B3D36" w:rsidR="00C008A3" w:rsidRPr="009F5467" w:rsidRDefault="009F5467" w:rsidP="00C008A3">
      <w:pPr>
        <w:spacing w:after="140" w:line="300" w:lineRule="auto"/>
        <w:rPr>
          <w:rFonts w:asciiTheme="minorHAnsi" w:hAnsiTheme="minorHAnsi" w:cstheme="minorHAnsi"/>
        </w:rPr>
      </w:pPr>
      <w:r w:rsidRPr="009F5467">
        <w:rPr>
          <w:rFonts w:asciiTheme="minorHAnsi" w:eastAsia="Arial" w:hAnsiTheme="minorHAnsi" w:cstheme="minorHAnsi"/>
        </w:rPr>
        <w:t>W</w:t>
      </w:r>
      <w:r w:rsidR="00C008A3" w:rsidRPr="009F5467">
        <w:rPr>
          <w:rFonts w:asciiTheme="minorHAnsi" w:eastAsia="Arial" w:hAnsiTheme="minorHAnsi" w:cstheme="minorHAnsi"/>
        </w:rPr>
        <w:t>e suggest the Committee consider the following design principles for women’s health services:</w:t>
      </w:r>
    </w:p>
    <w:p w14:paraId="00311496" w14:textId="77777777" w:rsidR="00C008A3" w:rsidRPr="009F5467" w:rsidRDefault="00C008A3">
      <w:pPr>
        <w:pStyle w:val="ListParagraph"/>
        <w:widowControl/>
        <w:numPr>
          <w:ilvl w:val="0"/>
          <w:numId w:val="32"/>
        </w:numPr>
        <w:autoSpaceDE/>
        <w:autoSpaceDN/>
        <w:spacing w:after="100" w:line="300" w:lineRule="auto"/>
        <w:rPr>
          <w:rFonts w:asciiTheme="minorHAnsi" w:hAnsiTheme="minorHAnsi" w:cstheme="minorHAnsi"/>
        </w:rPr>
      </w:pPr>
      <w:r w:rsidRPr="009F5467">
        <w:rPr>
          <w:rFonts w:asciiTheme="minorHAnsi" w:eastAsia="Arial" w:hAnsiTheme="minorHAnsi" w:cstheme="minorHAnsi"/>
          <w:b/>
          <w:bCs/>
        </w:rPr>
        <w:t>Local, relationship-based responses.</w:t>
      </w:r>
      <w:r w:rsidRPr="009F5467">
        <w:rPr>
          <w:rFonts w:asciiTheme="minorHAnsi" w:eastAsia="Arial" w:hAnsiTheme="minorHAnsi" w:cstheme="minorHAnsi"/>
        </w:rPr>
        <w:t xml:space="preserve"> Women are best served by practitioners who know the local network and who the woman already trusts.</w:t>
      </w:r>
    </w:p>
    <w:p w14:paraId="75EF7E8E" w14:textId="77777777" w:rsidR="00C008A3" w:rsidRPr="009F5467" w:rsidRDefault="00C008A3">
      <w:pPr>
        <w:pStyle w:val="ListParagraph"/>
        <w:widowControl/>
        <w:numPr>
          <w:ilvl w:val="0"/>
          <w:numId w:val="32"/>
        </w:numPr>
        <w:autoSpaceDE/>
        <w:autoSpaceDN/>
        <w:spacing w:after="100" w:line="300" w:lineRule="auto"/>
        <w:rPr>
          <w:rFonts w:asciiTheme="minorHAnsi" w:hAnsiTheme="minorHAnsi" w:cstheme="minorHAnsi"/>
        </w:rPr>
      </w:pPr>
      <w:r w:rsidRPr="009F5467">
        <w:rPr>
          <w:rFonts w:asciiTheme="minorHAnsi" w:eastAsia="Arial" w:hAnsiTheme="minorHAnsi" w:cstheme="minorHAnsi"/>
          <w:b/>
          <w:bCs/>
        </w:rPr>
        <w:lastRenderedPageBreak/>
        <w:t>Relationship continuity.</w:t>
      </w:r>
      <w:r w:rsidRPr="009F5467">
        <w:rPr>
          <w:rFonts w:asciiTheme="minorHAnsi" w:eastAsia="Arial" w:hAnsiTheme="minorHAnsi" w:cstheme="minorHAnsi"/>
        </w:rPr>
        <w:t xml:space="preserve"> Where possible, a woman should be able to keep a trusted clinician through pregnancy, birth and the postpartum period, and should have a right to request this.</w:t>
      </w:r>
    </w:p>
    <w:p w14:paraId="7FD6F309" w14:textId="77777777" w:rsidR="00C008A3" w:rsidRPr="009F5467" w:rsidRDefault="00C008A3">
      <w:pPr>
        <w:pStyle w:val="ListParagraph"/>
        <w:widowControl/>
        <w:numPr>
          <w:ilvl w:val="0"/>
          <w:numId w:val="32"/>
        </w:numPr>
        <w:autoSpaceDE/>
        <w:autoSpaceDN/>
        <w:spacing w:after="100" w:line="300" w:lineRule="auto"/>
        <w:rPr>
          <w:rFonts w:asciiTheme="minorHAnsi" w:hAnsiTheme="minorHAnsi" w:cstheme="minorHAnsi"/>
        </w:rPr>
      </w:pPr>
      <w:r w:rsidRPr="009F5467">
        <w:rPr>
          <w:rFonts w:asciiTheme="minorHAnsi" w:eastAsia="Arial" w:hAnsiTheme="minorHAnsi" w:cstheme="minorHAnsi"/>
          <w:b/>
          <w:bCs/>
        </w:rPr>
        <w:t>Choice and control.</w:t>
      </w:r>
      <w:r w:rsidRPr="009F5467">
        <w:rPr>
          <w:rFonts w:asciiTheme="minorHAnsi" w:eastAsia="Arial" w:hAnsiTheme="minorHAnsi" w:cstheme="minorHAnsi"/>
        </w:rPr>
        <w:t xml:space="preserve"> Women should have genuine choice of provider and approach, supported by early, proportionate and proactive intervention.</w:t>
      </w:r>
    </w:p>
    <w:p w14:paraId="7436AC9B" w14:textId="77777777" w:rsidR="00C008A3" w:rsidRPr="009F5467" w:rsidRDefault="00C008A3">
      <w:pPr>
        <w:pStyle w:val="ListParagraph"/>
        <w:widowControl/>
        <w:numPr>
          <w:ilvl w:val="0"/>
          <w:numId w:val="32"/>
        </w:numPr>
        <w:autoSpaceDE/>
        <w:autoSpaceDN/>
        <w:spacing w:after="100" w:line="300" w:lineRule="auto"/>
        <w:rPr>
          <w:rFonts w:asciiTheme="minorHAnsi" w:hAnsiTheme="minorHAnsi" w:cstheme="minorHAnsi"/>
        </w:rPr>
      </w:pPr>
      <w:proofErr w:type="spellStart"/>
      <w:r w:rsidRPr="009F5467">
        <w:rPr>
          <w:rFonts w:asciiTheme="minorHAnsi" w:eastAsia="Arial" w:hAnsiTheme="minorHAnsi" w:cstheme="minorHAnsi"/>
          <w:b/>
          <w:bCs/>
        </w:rPr>
        <w:t>Neuroaffirming</w:t>
      </w:r>
      <w:proofErr w:type="spellEnd"/>
      <w:r w:rsidRPr="009F5467">
        <w:rPr>
          <w:rFonts w:asciiTheme="minorHAnsi" w:eastAsia="Arial" w:hAnsiTheme="minorHAnsi" w:cstheme="minorHAnsi"/>
          <w:b/>
          <w:bCs/>
        </w:rPr>
        <w:t xml:space="preserve"> and trauma-informed practice.</w:t>
      </w:r>
      <w:r w:rsidRPr="009F5467">
        <w:rPr>
          <w:rFonts w:asciiTheme="minorHAnsi" w:eastAsia="Arial" w:hAnsiTheme="minorHAnsi" w:cstheme="minorHAnsi"/>
        </w:rPr>
        <w:t xml:space="preserve"> Services should expect neurodivergent women, women with psychosocial disability and women with histories of trauma, and should adapt sensory environments, communication and pacing accordingly.</w:t>
      </w:r>
    </w:p>
    <w:p w14:paraId="7088BEC0" w14:textId="77777777" w:rsidR="00C008A3" w:rsidRPr="009F5467" w:rsidRDefault="00C008A3">
      <w:pPr>
        <w:pStyle w:val="ListParagraph"/>
        <w:widowControl/>
        <w:numPr>
          <w:ilvl w:val="0"/>
          <w:numId w:val="32"/>
        </w:numPr>
        <w:autoSpaceDE/>
        <w:autoSpaceDN/>
        <w:spacing w:after="100" w:line="300" w:lineRule="auto"/>
        <w:rPr>
          <w:rFonts w:asciiTheme="minorHAnsi" w:hAnsiTheme="minorHAnsi" w:cstheme="minorHAnsi"/>
        </w:rPr>
      </w:pPr>
      <w:r w:rsidRPr="009F5467">
        <w:rPr>
          <w:rFonts w:asciiTheme="minorHAnsi" w:eastAsia="Arial" w:hAnsiTheme="minorHAnsi" w:cstheme="minorHAnsi"/>
          <w:b/>
          <w:bCs/>
        </w:rPr>
        <w:t>Flexibility.</w:t>
      </w:r>
      <w:r w:rsidRPr="009F5467">
        <w:rPr>
          <w:rFonts w:asciiTheme="minorHAnsi" w:eastAsia="Arial" w:hAnsiTheme="minorHAnsi" w:cstheme="minorHAnsi"/>
        </w:rPr>
        <w:t xml:space="preserve"> Services should respond to fluctuating need and to caring responsibilities, including through telehealth.</w:t>
      </w:r>
    </w:p>
    <w:p w14:paraId="427BE439" w14:textId="77777777" w:rsidR="00C008A3" w:rsidRPr="009F5467" w:rsidRDefault="00C008A3" w:rsidP="009F5467">
      <w:pPr>
        <w:pStyle w:val="Heading2"/>
        <w:rPr>
          <w:rFonts w:asciiTheme="minorHAnsi" w:hAnsiTheme="minorHAnsi" w:cstheme="minorHAnsi"/>
        </w:rPr>
      </w:pPr>
      <w:r w:rsidRPr="009F5467">
        <w:rPr>
          <w:rFonts w:asciiTheme="minorHAnsi" w:eastAsia="Arial" w:hAnsiTheme="minorHAnsi" w:cstheme="minorHAnsi"/>
        </w:rPr>
        <w:t>3. Postpartum care and women’s experiences</w:t>
      </w:r>
    </w:p>
    <w:p w14:paraId="25EF4955" w14:textId="77777777" w:rsidR="00C008A3" w:rsidRPr="009F5467" w:rsidRDefault="00C008A3" w:rsidP="00C008A3">
      <w:pPr>
        <w:spacing w:after="140" w:line="300" w:lineRule="auto"/>
        <w:rPr>
          <w:rFonts w:asciiTheme="minorHAnsi" w:hAnsiTheme="minorHAnsi" w:cstheme="minorHAnsi"/>
        </w:rPr>
      </w:pPr>
      <w:r w:rsidRPr="009F5467">
        <w:rPr>
          <w:rFonts w:asciiTheme="minorHAnsi" w:eastAsia="Arial" w:hAnsiTheme="minorHAnsi" w:cstheme="minorHAnsi"/>
          <w:i/>
          <w:iCs/>
        </w:rPr>
        <w:t>Responds to Terms of Reference (a), (b) and (c).</w:t>
      </w:r>
    </w:p>
    <w:p w14:paraId="67DD078F" w14:textId="3A823C27" w:rsidR="00C008A3" w:rsidRPr="009F5467" w:rsidRDefault="00C008A3" w:rsidP="00C0279B">
      <w:pPr>
        <w:pStyle w:val="Heading4"/>
      </w:pPr>
      <w:r w:rsidRPr="009F5467">
        <w:t>Motherhood as an occupational transition</w:t>
      </w:r>
    </w:p>
    <w:p w14:paraId="2577F64E" w14:textId="2BDD653F" w:rsidR="00C008A3" w:rsidRPr="009F5467" w:rsidRDefault="00C008A3" w:rsidP="00C008A3">
      <w:pPr>
        <w:spacing w:after="140" w:line="300" w:lineRule="auto"/>
        <w:rPr>
          <w:rFonts w:asciiTheme="minorHAnsi" w:hAnsiTheme="minorHAnsi" w:cstheme="minorHAnsi"/>
        </w:rPr>
      </w:pPr>
      <w:r w:rsidRPr="009F5467">
        <w:rPr>
          <w:rFonts w:asciiTheme="minorHAnsi" w:eastAsia="Arial" w:hAnsiTheme="minorHAnsi" w:cstheme="minorHAnsi"/>
        </w:rPr>
        <w:t xml:space="preserve">Becoming a mother is a major occupational transition. Roles, routines, sleep, work, leisure, relationships and sense of identity all change at </w:t>
      </w:r>
      <w:proofErr w:type="gramStart"/>
      <w:r w:rsidRPr="009F5467">
        <w:rPr>
          <w:rFonts w:asciiTheme="minorHAnsi" w:eastAsia="Arial" w:hAnsiTheme="minorHAnsi" w:cstheme="minorHAnsi"/>
        </w:rPr>
        <w:t>once..</w:t>
      </w:r>
      <w:proofErr w:type="gramEnd"/>
      <w:r w:rsidRPr="009F5467">
        <w:rPr>
          <w:rFonts w:asciiTheme="minorHAnsi" w:eastAsia="Arial" w:hAnsiTheme="minorHAnsi" w:cstheme="minorHAnsi"/>
        </w:rPr>
        <w:t xml:space="preserve"> A systematized review of 13 studies on occupational therapy interventions in the transition to motherhood concluded that occupational therapists offer evidence-based interventions addressing the physical, psychological, social and relational effects of this transition (Milks et al., 2024).</w:t>
      </w:r>
    </w:p>
    <w:p w14:paraId="25C6B89D" w14:textId="25D57154" w:rsidR="009F5467" w:rsidRPr="009F5467" w:rsidRDefault="009F5467" w:rsidP="009F5467">
      <w:pPr>
        <w:spacing w:after="140" w:line="300" w:lineRule="auto"/>
        <w:rPr>
          <w:rFonts w:asciiTheme="minorHAnsi" w:eastAsia="Arial" w:hAnsiTheme="minorHAnsi" w:cstheme="minorHAnsi"/>
        </w:rPr>
      </w:pPr>
      <w:r w:rsidRPr="009F5467">
        <w:rPr>
          <w:rFonts w:asciiTheme="minorHAnsi" w:eastAsia="Arial" w:hAnsiTheme="minorHAnsi" w:cstheme="minorHAnsi"/>
        </w:rPr>
        <w:t xml:space="preserve">Occupational Therapists have skills to support </w:t>
      </w:r>
      <w:proofErr w:type="gramStart"/>
      <w:r w:rsidRPr="009F5467">
        <w:rPr>
          <w:rFonts w:asciiTheme="minorHAnsi" w:eastAsia="Arial" w:hAnsiTheme="minorHAnsi" w:cstheme="minorHAnsi"/>
        </w:rPr>
        <w:t>women</w:t>
      </w:r>
      <w:proofErr w:type="gramEnd"/>
      <w:r w:rsidRPr="009F5467">
        <w:rPr>
          <w:rFonts w:asciiTheme="minorHAnsi" w:eastAsia="Arial" w:hAnsiTheme="minorHAnsi" w:cstheme="minorHAnsi"/>
        </w:rPr>
        <w:t xml:space="preserve"> but many women are not supported to access Occupational Therapists due to limited employment of OT </w:t>
      </w:r>
      <w:proofErr w:type="gramStart"/>
      <w:r w:rsidRPr="009F5467">
        <w:rPr>
          <w:rFonts w:asciiTheme="minorHAnsi" w:eastAsia="Arial" w:hAnsiTheme="minorHAnsi" w:cstheme="minorHAnsi"/>
        </w:rPr>
        <w:t>and  unavailable</w:t>
      </w:r>
      <w:proofErr w:type="gramEnd"/>
      <w:r w:rsidRPr="009F5467">
        <w:rPr>
          <w:rFonts w:asciiTheme="minorHAnsi" w:eastAsia="Arial" w:hAnsiTheme="minorHAnsi" w:cstheme="minorHAnsi"/>
        </w:rPr>
        <w:t xml:space="preserve"> Medicare rebates for this population. </w:t>
      </w:r>
    </w:p>
    <w:p w14:paraId="1C9E3FA7" w14:textId="314A87F9" w:rsidR="00C008A3" w:rsidRPr="009F5467" w:rsidRDefault="00C008A3" w:rsidP="00C0279B">
      <w:pPr>
        <w:pStyle w:val="Heading4"/>
      </w:pPr>
      <w:r w:rsidRPr="009F5467">
        <w:t>Postpartum mental health</w:t>
      </w:r>
    </w:p>
    <w:p w14:paraId="3B1A84B8" w14:textId="77777777" w:rsidR="009F5467" w:rsidRPr="009F5467" w:rsidRDefault="00C008A3" w:rsidP="00C008A3">
      <w:pPr>
        <w:spacing w:after="140" w:line="300" w:lineRule="auto"/>
        <w:rPr>
          <w:rFonts w:asciiTheme="minorHAnsi" w:eastAsia="Arial" w:hAnsiTheme="minorHAnsi" w:cstheme="minorHAnsi"/>
        </w:rPr>
      </w:pPr>
      <w:r w:rsidRPr="009F5467">
        <w:rPr>
          <w:rFonts w:asciiTheme="minorHAnsi" w:eastAsia="Arial" w:hAnsiTheme="minorHAnsi" w:cstheme="minorHAnsi"/>
        </w:rPr>
        <w:t>A scoping review of the role of occupational therapy for women with postpartum depression screened 2,162 studies and identified occupational therapy as an emerging stand-alone service in postpartum depression care, alongside existing interventions that fit within the occupational therapy scope (</w:t>
      </w:r>
      <w:r w:rsidRPr="009F5467">
        <w:rPr>
          <w:rFonts w:asciiTheme="minorHAnsi" w:eastAsia="Arial" w:hAnsiTheme="minorHAnsi" w:cstheme="minorHAnsi"/>
          <w:i/>
          <w:iCs/>
        </w:rPr>
        <w:t>Scoping review of the role of occupational therapy in the treatment of women with postpartum depression</w:t>
      </w:r>
      <w:r w:rsidRPr="009F5467">
        <w:rPr>
          <w:rFonts w:asciiTheme="minorHAnsi" w:eastAsia="Arial" w:hAnsiTheme="minorHAnsi" w:cstheme="minorHAnsi"/>
        </w:rPr>
        <w:t xml:space="preserve">, 2021). </w:t>
      </w:r>
    </w:p>
    <w:p w14:paraId="61057084" w14:textId="57498906" w:rsidR="00C008A3" w:rsidRPr="009F5467" w:rsidRDefault="00C008A3" w:rsidP="00C008A3">
      <w:pPr>
        <w:spacing w:after="140" w:line="300" w:lineRule="auto"/>
        <w:rPr>
          <w:rFonts w:asciiTheme="minorHAnsi" w:hAnsiTheme="minorHAnsi" w:cstheme="minorHAnsi"/>
        </w:rPr>
      </w:pPr>
      <w:r w:rsidRPr="009F5467">
        <w:rPr>
          <w:rFonts w:asciiTheme="minorHAnsi" w:eastAsia="Arial" w:hAnsiTheme="minorHAnsi" w:cstheme="minorHAnsi"/>
        </w:rPr>
        <w:t xml:space="preserve">In England, community perinatal mental health teams have been associated with better outcomes for women with a history of severe mental illness. In a national cohort of 70,323 women, acute postnatal relapse occurred in 3.6% of women where a community perinatal mental health team was </w:t>
      </w:r>
      <w:r w:rsidRPr="009F5467">
        <w:rPr>
          <w:rFonts w:asciiTheme="minorHAnsi" w:eastAsia="Arial" w:hAnsiTheme="minorHAnsi" w:cstheme="minorHAnsi"/>
        </w:rPr>
        <w:lastRenderedPageBreak/>
        <w:t>available and 4.5% where one was not (adjusted odds ratio 0.77), and the authors concluded that such teams reduced postnatal relapse risk and increased use of secondary mental health care (</w:t>
      </w:r>
      <w:proofErr w:type="spellStart"/>
      <w:r w:rsidRPr="009F5467">
        <w:rPr>
          <w:rFonts w:asciiTheme="minorHAnsi" w:eastAsia="Arial" w:hAnsiTheme="minorHAnsi" w:cstheme="minorHAnsi"/>
        </w:rPr>
        <w:t>Gurol-Urganci</w:t>
      </w:r>
      <w:proofErr w:type="spellEnd"/>
      <w:r w:rsidRPr="009F5467">
        <w:rPr>
          <w:rFonts w:asciiTheme="minorHAnsi" w:eastAsia="Arial" w:hAnsiTheme="minorHAnsi" w:cstheme="minorHAnsi"/>
        </w:rPr>
        <w:t xml:space="preserve"> et al., 2024). The authors also stressed that these teams should have close links with maternity services. We note that this study evaluated the teams as a whole and did not isolate the contribution of any one profession. Occupational therapists are part of the UK perinatal mental health workforce, and since 2024 these teams have been commissioned to support mothers for up to 24 months postpartum, which includes the needs of mothers returning to work (Halsall et al., 2025).</w:t>
      </w:r>
    </w:p>
    <w:p w14:paraId="28BA53BE" w14:textId="28C38921" w:rsidR="00C008A3" w:rsidRPr="009F5467" w:rsidRDefault="00C008A3" w:rsidP="00C0279B">
      <w:pPr>
        <w:pStyle w:val="Heading4"/>
      </w:pPr>
      <w:r w:rsidRPr="009F5467">
        <w:t>Women who are most likely to fall through the gaps</w:t>
      </w:r>
    </w:p>
    <w:p w14:paraId="0F2B670F" w14:textId="77777777" w:rsidR="00C008A3" w:rsidRPr="009F5467" w:rsidRDefault="00C008A3" w:rsidP="00C008A3">
      <w:pPr>
        <w:spacing w:after="140" w:line="300" w:lineRule="auto"/>
        <w:rPr>
          <w:rFonts w:asciiTheme="minorHAnsi" w:hAnsiTheme="minorHAnsi" w:cstheme="minorHAnsi"/>
        </w:rPr>
      </w:pPr>
      <w:r w:rsidRPr="009F5467">
        <w:rPr>
          <w:rFonts w:asciiTheme="minorHAnsi" w:eastAsia="Arial" w:hAnsiTheme="minorHAnsi" w:cstheme="minorHAnsi"/>
        </w:rPr>
        <w:t xml:space="preserve">The women whose needs are least visible are often those who are most at risk: women who are neurodivergent, women with learning or cognitive impairment, women with severe and persistent mental illness, First Nations women, culturally and linguistically diverse women, LGBTQI+ women and women in regional and remote areas. A UK study of occupational therapists working in perinatal mental health with mothers from ethnic minorities identified barriers and enablers to meeting these mothers’ occupational </w:t>
      </w:r>
      <w:proofErr w:type="gramStart"/>
      <w:r w:rsidRPr="009F5467">
        <w:rPr>
          <w:rFonts w:asciiTheme="minorHAnsi" w:eastAsia="Arial" w:hAnsiTheme="minorHAnsi" w:cstheme="minorHAnsi"/>
        </w:rPr>
        <w:t>needs, and</w:t>
      </w:r>
      <w:proofErr w:type="gramEnd"/>
      <w:r w:rsidRPr="009F5467">
        <w:rPr>
          <w:rFonts w:asciiTheme="minorHAnsi" w:eastAsia="Arial" w:hAnsiTheme="minorHAnsi" w:cstheme="minorHAnsi"/>
        </w:rPr>
        <w:t xml:space="preserve"> reported evidence of systemic racism in UK maternity care and poorer outcomes for ethnic minority women (Halsall et al., 2025). While this study is not Australian, its findings are a reminder that culturally safe, relationship-based practice </w:t>
      </w:r>
      <w:proofErr w:type="gramStart"/>
      <w:r w:rsidRPr="009F5467">
        <w:rPr>
          <w:rFonts w:asciiTheme="minorHAnsi" w:eastAsia="Arial" w:hAnsiTheme="minorHAnsi" w:cstheme="minorHAnsi"/>
        </w:rPr>
        <w:t>has to</w:t>
      </w:r>
      <w:proofErr w:type="gramEnd"/>
      <w:r w:rsidRPr="009F5467">
        <w:rPr>
          <w:rFonts w:asciiTheme="minorHAnsi" w:eastAsia="Arial" w:hAnsiTheme="minorHAnsi" w:cstheme="minorHAnsi"/>
        </w:rPr>
        <w:t xml:space="preserve"> be designed in from the start.</w:t>
      </w:r>
    </w:p>
    <w:p w14:paraId="0F1D656C" w14:textId="1C77B1D7" w:rsidR="00C008A3" w:rsidRPr="00C0279B" w:rsidRDefault="00C008A3" w:rsidP="00C0279B">
      <w:pPr>
        <w:pStyle w:val="Heading4"/>
      </w:pPr>
      <w:r w:rsidRPr="00C0279B">
        <w:rPr>
          <w:rStyle w:val="Heading4Char"/>
          <w:b/>
          <w:bCs/>
        </w:rPr>
        <w:t>Physical recovery and persistent pain after birth</w:t>
      </w:r>
    </w:p>
    <w:p w14:paraId="75C891D5" w14:textId="762F5F6D" w:rsidR="00C008A3" w:rsidRPr="009F5467" w:rsidRDefault="00C008A3" w:rsidP="00C008A3">
      <w:pPr>
        <w:spacing w:after="140" w:line="300" w:lineRule="auto"/>
        <w:rPr>
          <w:rFonts w:asciiTheme="minorHAnsi" w:hAnsiTheme="minorHAnsi" w:cstheme="minorHAnsi"/>
        </w:rPr>
      </w:pPr>
      <w:r w:rsidRPr="009F5467">
        <w:rPr>
          <w:rFonts w:asciiTheme="minorHAnsi" w:eastAsia="Arial" w:hAnsiTheme="minorHAnsi" w:cstheme="minorHAnsi"/>
        </w:rPr>
        <w:t>Physical effects of birth are common and can persist. In a cross-sectional study of 164 women who had received physiotherapy for pregnancy-related pelvic girdle pain, 76% still experienced persistent pain four months postpartum (</w:t>
      </w:r>
      <w:r w:rsidRPr="009F5467">
        <w:rPr>
          <w:rFonts w:asciiTheme="minorHAnsi" w:eastAsia="Arial" w:hAnsiTheme="minorHAnsi" w:cstheme="minorHAnsi"/>
          <w:i/>
          <w:iCs/>
        </w:rPr>
        <w:t>Individually tailored physiotherapy interventions for pregnancy-related pelvic girdle pain</w:t>
      </w:r>
      <w:r w:rsidRPr="009F5467">
        <w:rPr>
          <w:rFonts w:asciiTheme="minorHAnsi" w:eastAsia="Arial" w:hAnsiTheme="minorHAnsi" w:cstheme="minorHAnsi"/>
        </w:rPr>
        <w:t xml:space="preserve">, cross-sectional study). Pain, pelvic floor dysfunction and fatigue affect a woman’s ability to lift and carry her baby, return to work and care for her family. </w:t>
      </w:r>
      <w:r w:rsidR="009F5467" w:rsidRPr="009F5467">
        <w:rPr>
          <w:rFonts w:asciiTheme="minorHAnsi" w:eastAsia="Arial" w:hAnsiTheme="minorHAnsi" w:cstheme="minorHAnsi"/>
        </w:rPr>
        <w:t>O</w:t>
      </w:r>
      <w:r w:rsidRPr="009F5467">
        <w:rPr>
          <w:rFonts w:asciiTheme="minorHAnsi" w:eastAsia="Arial" w:hAnsiTheme="minorHAnsi" w:cstheme="minorHAnsi"/>
        </w:rPr>
        <w:t xml:space="preserve">ccupational therapists can contribute through </w:t>
      </w:r>
      <w:r w:rsidR="007C4051">
        <w:rPr>
          <w:rFonts w:asciiTheme="minorHAnsi" w:eastAsia="Arial" w:hAnsiTheme="minorHAnsi" w:cstheme="minorHAnsi"/>
        </w:rPr>
        <w:t xml:space="preserve">pain interventions, </w:t>
      </w:r>
      <w:r w:rsidRPr="009F5467">
        <w:rPr>
          <w:rFonts w:asciiTheme="minorHAnsi" w:eastAsia="Arial" w:hAnsiTheme="minorHAnsi" w:cstheme="minorHAnsi"/>
        </w:rPr>
        <w:t>activity pacing, energy conservation, adapting infant-care tasks and the home environment, and supporting return to work and other roles.</w:t>
      </w:r>
    </w:p>
    <w:p w14:paraId="2A8FA206" w14:textId="293B1006" w:rsidR="00C008A3" w:rsidRPr="009F5467" w:rsidRDefault="00C008A3" w:rsidP="00C0279B">
      <w:pPr>
        <w:pStyle w:val="Heading4"/>
      </w:pPr>
      <w:r w:rsidRPr="009F5467">
        <w:t>Models of care</w:t>
      </w:r>
    </w:p>
    <w:p w14:paraId="63478D94" w14:textId="77777777" w:rsidR="00C008A3" w:rsidRPr="009F5467" w:rsidRDefault="00C008A3" w:rsidP="00C008A3">
      <w:pPr>
        <w:spacing w:after="140" w:line="300" w:lineRule="auto"/>
        <w:rPr>
          <w:rFonts w:asciiTheme="minorHAnsi" w:hAnsiTheme="minorHAnsi" w:cstheme="minorHAnsi"/>
        </w:rPr>
      </w:pPr>
      <w:r w:rsidRPr="009F5467">
        <w:rPr>
          <w:rFonts w:asciiTheme="minorHAnsi" w:eastAsia="Arial" w:hAnsiTheme="minorHAnsi" w:cstheme="minorHAnsi"/>
        </w:rPr>
        <w:t>We propose the following models for the Committee’s consideration. Each is practical, can be piloted and evaluated, and builds on existing services rather than replacing them.</w:t>
      </w:r>
    </w:p>
    <w:p w14:paraId="4B0F58F5" w14:textId="77777777" w:rsidR="00C008A3" w:rsidRPr="009F5467" w:rsidRDefault="00C008A3">
      <w:pPr>
        <w:pStyle w:val="ListParagraph"/>
        <w:widowControl/>
        <w:numPr>
          <w:ilvl w:val="0"/>
          <w:numId w:val="32"/>
        </w:numPr>
        <w:autoSpaceDE/>
        <w:autoSpaceDN/>
        <w:spacing w:after="100" w:line="300" w:lineRule="auto"/>
        <w:rPr>
          <w:rFonts w:asciiTheme="minorHAnsi" w:hAnsiTheme="minorHAnsi" w:cstheme="minorHAnsi"/>
        </w:rPr>
      </w:pPr>
      <w:r w:rsidRPr="009F5467">
        <w:rPr>
          <w:rFonts w:asciiTheme="minorHAnsi" w:eastAsia="Arial" w:hAnsiTheme="minorHAnsi" w:cstheme="minorHAnsi"/>
          <w:b/>
          <w:bCs/>
        </w:rPr>
        <w:t>Maternity wards and mother-baby units.</w:t>
      </w:r>
      <w:r w:rsidRPr="009F5467">
        <w:rPr>
          <w:rFonts w:asciiTheme="minorHAnsi" w:eastAsia="Arial" w:hAnsiTheme="minorHAnsi" w:cstheme="minorHAnsi"/>
        </w:rPr>
        <w:t xml:space="preserve"> Embed occupational therapists as core members of multidisciplinary teams to provide </w:t>
      </w:r>
      <w:proofErr w:type="spellStart"/>
      <w:r w:rsidRPr="009F5467">
        <w:rPr>
          <w:rFonts w:asciiTheme="minorHAnsi" w:eastAsia="Arial" w:hAnsiTheme="minorHAnsi" w:cstheme="minorHAnsi"/>
        </w:rPr>
        <w:t>neuroaffirming</w:t>
      </w:r>
      <w:proofErr w:type="spellEnd"/>
      <w:r w:rsidRPr="009F5467">
        <w:rPr>
          <w:rFonts w:asciiTheme="minorHAnsi" w:eastAsia="Arial" w:hAnsiTheme="minorHAnsi" w:cstheme="minorHAnsi"/>
        </w:rPr>
        <w:t xml:space="preserve"> care, mental health support, sensory processing strategies, and pain education and management, helping new mothers to </w:t>
      </w:r>
      <w:r w:rsidRPr="009F5467">
        <w:rPr>
          <w:rFonts w:asciiTheme="minorHAnsi" w:eastAsia="Arial" w:hAnsiTheme="minorHAnsi" w:cstheme="minorHAnsi"/>
        </w:rPr>
        <w:lastRenderedPageBreak/>
        <w:t>transition to parenthood. Occupational therapists can also lead functional discharge planning, so that women leave hospital with practical, real-world coping and occupational performance strategies.</w:t>
      </w:r>
    </w:p>
    <w:p w14:paraId="26D481F4" w14:textId="3451F174" w:rsidR="00C008A3" w:rsidRPr="009F5467" w:rsidRDefault="00C008A3">
      <w:pPr>
        <w:pStyle w:val="ListParagraph"/>
        <w:widowControl/>
        <w:numPr>
          <w:ilvl w:val="0"/>
          <w:numId w:val="32"/>
        </w:numPr>
        <w:autoSpaceDE/>
        <w:autoSpaceDN/>
        <w:spacing w:after="100" w:line="300" w:lineRule="auto"/>
        <w:rPr>
          <w:rFonts w:asciiTheme="minorHAnsi" w:hAnsiTheme="minorHAnsi" w:cstheme="minorHAnsi"/>
        </w:rPr>
      </w:pPr>
      <w:r w:rsidRPr="009F5467">
        <w:rPr>
          <w:rFonts w:asciiTheme="minorHAnsi" w:eastAsia="Arial" w:hAnsiTheme="minorHAnsi" w:cstheme="minorHAnsi"/>
          <w:b/>
          <w:bCs/>
        </w:rPr>
        <w:t>Child and maternal health pathways and community clinics.</w:t>
      </w:r>
      <w:r w:rsidRPr="009F5467">
        <w:rPr>
          <w:rFonts w:asciiTheme="minorHAnsi" w:eastAsia="Arial" w:hAnsiTheme="minorHAnsi" w:cstheme="minorHAnsi"/>
        </w:rPr>
        <w:t xml:space="preserve"> Establish formal, seamless pathways between Child and Maternal Health Nurses and occupational </w:t>
      </w:r>
      <w:proofErr w:type="gramStart"/>
      <w:r w:rsidRPr="009F5467">
        <w:rPr>
          <w:rFonts w:asciiTheme="minorHAnsi" w:eastAsia="Arial" w:hAnsiTheme="minorHAnsi" w:cstheme="minorHAnsi"/>
        </w:rPr>
        <w:t>therapists, and</w:t>
      </w:r>
      <w:proofErr w:type="gramEnd"/>
      <w:r w:rsidRPr="009F5467">
        <w:rPr>
          <w:rFonts w:asciiTheme="minorHAnsi" w:eastAsia="Arial" w:hAnsiTheme="minorHAnsi" w:cstheme="minorHAnsi"/>
        </w:rPr>
        <w:t xml:space="preserve"> include occupational therapists in community </w:t>
      </w:r>
      <w:proofErr w:type="gramStart"/>
      <w:r w:rsidRPr="009F5467">
        <w:rPr>
          <w:rFonts w:asciiTheme="minorHAnsi" w:eastAsia="Arial" w:hAnsiTheme="minorHAnsi" w:cstheme="minorHAnsi"/>
        </w:rPr>
        <w:t>clinics  to</w:t>
      </w:r>
      <w:proofErr w:type="gramEnd"/>
      <w:r w:rsidRPr="009F5467">
        <w:rPr>
          <w:rFonts w:asciiTheme="minorHAnsi" w:eastAsia="Arial" w:hAnsiTheme="minorHAnsi" w:cstheme="minorHAnsi"/>
        </w:rPr>
        <w:t xml:space="preserve"> offer integrated post-natal care.</w:t>
      </w:r>
    </w:p>
    <w:p w14:paraId="1E230AD0" w14:textId="77777777" w:rsidR="009F5467" w:rsidRPr="009F5467" w:rsidRDefault="00C008A3">
      <w:pPr>
        <w:pStyle w:val="ListParagraph"/>
        <w:widowControl/>
        <w:numPr>
          <w:ilvl w:val="0"/>
          <w:numId w:val="32"/>
        </w:numPr>
        <w:autoSpaceDE/>
        <w:autoSpaceDN/>
        <w:spacing w:after="100" w:line="300" w:lineRule="auto"/>
        <w:rPr>
          <w:rFonts w:asciiTheme="minorHAnsi" w:hAnsiTheme="minorHAnsi" w:cstheme="minorHAnsi"/>
        </w:rPr>
      </w:pPr>
      <w:r w:rsidRPr="009F5467">
        <w:rPr>
          <w:rFonts w:asciiTheme="minorHAnsi" w:eastAsia="Arial" w:hAnsiTheme="minorHAnsi" w:cstheme="minorHAnsi"/>
          <w:b/>
          <w:bCs/>
        </w:rPr>
        <w:t>Perinatal mental health teams with assertive outreach.</w:t>
      </w:r>
      <w:r w:rsidRPr="009F5467">
        <w:rPr>
          <w:rFonts w:asciiTheme="minorHAnsi" w:eastAsia="Arial" w:hAnsiTheme="minorHAnsi" w:cstheme="minorHAnsi"/>
        </w:rPr>
        <w:t xml:space="preserve"> Integrate occupational therapists into multidisciplinary perinatal mental health teams that reach out to at-risk women in the antenatal and postpartum periods. </w:t>
      </w:r>
    </w:p>
    <w:p w14:paraId="6B956886" w14:textId="5442B4E8" w:rsidR="00C008A3" w:rsidRPr="009F5467" w:rsidRDefault="00C008A3">
      <w:pPr>
        <w:pStyle w:val="ListParagraph"/>
        <w:widowControl/>
        <w:numPr>
          <w:ilvl w:val="0"/>
          <w:numId w:val="32"/>
        </w:numPr>
        <w:autoSpaceDE/>
        <w:autoSpaceDN/>
        <w:spacing w:after="100" w:line="300" w:lineRule="auto"/>
        <w:rPr>
          <w:rFonts w:asciiTheme="minorHAnsi" w:hAnsiTheme="minorHAnsi" w:cstheme="minorHAnsi"/>
        </w:rPr>
      </w:pPr>
      <w:r w:rsidRPr="009F5467">
        <w:rPr>
          <w:rFonts w:asciiTheme="minorHAnsi" w:eastAsia="Arial" w:hAnsiTheme="minorHAnsi" w:cstheme="minorHAnsi"/>
          <w:b/>
          <w:bCs/>
        </w:rPr>
        <w:t>Group and peer interventions for women below the threshold for specialist care.</w:t>
      </w:r>
      <w:r w:rsidRPr="009F5467">
        <w:rPr>
          <w:rFonts w:asciiTheme="minorHAnsi" w:eastAsia="Arial" w:hAnsiTheme="minorHAnsi" w:cstheme="minorHAnsi"/>
        </w:rPr>
        <w:t xml:space="preserve"> Many women do not meet the high threshold for specialist mental health care but still struggle. Occupational therapist-facilitated individual support, peer support and online group interventions, offered in both the antenatal and postpartum phases, can prevent these women falling through the gaps and developing chronic problems that need more health resources later. Primary research reported in the UK literature includes an occupational therapy group intervention that helped participants persevere with breastfeeding and feel more confident in their parenting role, and an occupation-based retreat that improved mood and self-compassion for women who had experienced pregnancy or infant loss (Halsall et al., 2025, </w:t>
      </w:r>
      <w:proofErr w:type="spellStart"/>
      <w:r w:rsidRPr="009F5467">
        <w:rPr>
          <w:rFonts w:asciiTheme="minorHAnsi" w:eastAsia="Arial" w:hAnsiTheme="minorHAnsi" w:cstheme="minorHAnsi"/>
        </w:rPr>
        <w:t>summarising</w:t>
      </w:r>
      <w:proofErr w:type="spellEnd"/>
      <w:r w:rsidRPr="009F5467">
        <w:rPr>
          <w:rFonts w:asciiTheme="minorHAnsi" w:eastAsia="Arial" w:hAnsiTheme="minorHAnsi" w:cstheme="minorHAnsi"/>
        </w:rPr>
        <w:t xml:space="preserve"> Sponseller et al., 2021 and Hanish, 2019).</w:t>
      </w:r>
    </w:p>
    <w:p w14:paraId="3C198918" w14:textId="77777777" w:rsidR="00C008A3" w:rsidRPr="009F5467" w:rsidRDefault="00C008A3" w:rsidP="007C4051">
      <w:pPr>
        <w:pStyle w:val="Heading2"/>
      </w:pPr>
      <w:r w:rsidRPr="009F5467">
        <w:rPr>
          <w:rFonts w:eastAsia="Arial"/>
        </w:rPr>
        <w:t>4. Cost, access, education, workforce and data</w:t>
      </w:r>
    </w:p>
    <w:p w14:paraId="3AAD3995" w14:textId="77777777" w:rsidR="00C008A3" w:rsidRPr="009F5467" w:rsidRDefault="00C008A3" w:rsidP="00C008A3">
      <w:pPr>
        <w:spacing w:after="140" w:line="300" w:lineRule="auto"/>
        <w:rPr>
          <w:rFonts w:asciiTheme="minorHAnsi" w:hAnsiTheme="minorHAnsi" w:cstheme="minorHAnsi"/>
        </w:rPr>
      </w:pPr>
      <w:r w:rsidRPr="009F5467">
        <w:rPr>
          <w:rFonts w:asciiTheme="minorHAnsi" w:eastAsia="Arial" w:hAnsiTheme="minorHAnsi" w:cstheme="minorHAnsi"/>
          <w:i/>
          <w:iCs/>
        </w:rPr>
        <w:t>Responds to Terms of Reference (d), (e), (f), (g) and (h).</w:t>
      </w:r>
    </w:p>
    <w:p w14:paraId="2286D722" w14:textId="39045908" w:rsidR="00C008A3" w:rsidRPr="009F5467" w:rsidRDefault="00C008A3" w:rsidP="00C0279B">
      <w:pPr>
        <w:pStyle w:val="Heading4"/>
      </w:pPr>
      <w:r w:rsidRPr="009F5467">
        <w:t>Cost and accessibility of care</w:t>
      </w:r>
    </w:p>
    <w:p w14:paraId="29F7EA33" w14:textId="77777777" w:rsidR="00C008A3" w:rsidRPr="009F5467" w:rsidRDefault="00C008A3" w:rsidP="00C008A3">
      <w:pPr>
        <w:spacing w:after="140" w:line="300" w:lineRule="auto"/>
        <w:rPr>
          <w:rFonts w:asciiTheme="minorHAnsi" w:hAnsiTheme="minorHAnsi" w:cstheme="minorHAnsi"/>
        </w:rPr>
      </w:pPr>
      <w:r w:rsidRPr="009F5467">
        <w:rPr>
          <w:rFonts w:asciiTheme="minorHAnsi" w:eastAsia="Arial" w:hAnsiTheme="minorHAnsi" w:cstheme="minorHAnsi"/>
        </w:rPr>
        <w:t>Cost and fragmentation are the main barriers we see in practice. Women are expected to navigate separate services for mental health, infant feeding, pelvic health and pain, often at their own expense and at times that clash with caring responsibilities. We propose the following to improve access.</w:t>
      </w:r>
    </w:p>
    <w:p w14:paraId="26E07EDF" w14:textId="77777777" w:rsidR="00C008A3" w:rsidRPr="009F5467" w:rsidRDefault="00C008A3">
      <w:pPr>
        <w:pStyle w:val="ListParagraph"/>
        <w:widowControl/>
        <w:numPr>
          <w:ilvl w:val="0"/>
          <w:numId w:val="32"/>
        </w:numPr>
        <w:autoSpaceDE/>
        <w:autoSpaceDN/>
        <w:spacing w:after="100" w:line="300" w:lineRule="auto"/>
        <w:rPr>
          <w:rFonts w:asciiTheme="minorHAnsi" w:hAnsiTheme="minorHAnsi" w:cstheme="minorHAnsi"/>
        </w:rPr>
      </w:pPr>
      <w:r w:rsidRPr="009F5467">
        <w:rPr>
          <w:rFonts w:asciiTheme="minorHAnsi" w:eastAsia="Arial" w:hAnsiTheme="minorHAnsi" w:cstheme="minorHAnsi"/>
          <w:b/>
          <w:bCs/>
        </w:rPr>
        <w:t>Direct GP referral pathways.</w:t>
      </w:r>
      <w:r w:rsidRPr="009F5467">
        <w:rPr>
          <w:rFonts w:asciiTheme="minorHAnsi" w:eastAsia="Arial" w:hAnsiTheme="minorHAnsi" w:cstheme="minorHAnsi"/>
        </w:rPr>
        <w:t xml:space="preserve"> Clearer and more direct pathways for GPs to refer women to occupational therapy for </w:t>
      </w:r>
      <w:proofErr w:type="spellStart"/>
      <w:r w:rsidRPr="009F5467">
        <w:rPr>
          <w:rFonts w:asciiTheme="minorHAnsi" w:eastAsia="Arial" w:hAnsiTheme="minorHAnsi" w:cstheme="minorHAnsi"/>
        </w:rPr>
        <w:t>specialised</w:t>
      </w:r>
      <w:proofErr w:type="spellEnd"/>
      <w:r w:rsidRPr="009F5467">
        <w:rPr>
          <w:rFonts w:asciiTheme="minorHAnsi" w:eastAsia="Arial" w:hAnsiTheme="minorHAnsi" w:cstheme="minorHAnsi"/>
        </w:rPr>
        <w:t xml:space="preserve"> women’s health needs would allow timely and proactive intervention.</w:t>
      </w:r>
    </w:p>
    <w:p w14:paraId="0D6FEA69" w14:textId="5C862136" w:rsidR="00C008A3" w:rsidRPr="009F5467" w:rsidRDefault="007C4051">
      <w:pPr>
        <w:pStyle w:val="ListParagraph"/>
        <w:widowControl/>
        <w:numPr>
          <w:ilvl w:val="0"/>
          <w:numId w:val="32"/>
        </w:numPr>
        <w:autoSpaceDE/>
        <w:autoSpaceDN/>
        <w:spacing w:after="100" w:line="300" w:lineRule="auto"/>
        <w:rPr>
          <w:rFonts w:asciiTheme="minorHAnsi" w:hAnsiTheme="minorHAnsi" w:cstheme="minorHAnsi"/>
        </w:rPr>
      </w:pPr>
      <w:r>
        <w:rPr>
          <w:rFonts w:asciiTheme="minorHAnsi" w:eastAsia="Arial" w:hAnsiTheme="minorHAnsi" w:cstheme="minorHAnsi"/>
          <w:b/>
          <w:bCs/>
        </w:rPr>
        <w:t>Access to O</w:t>
      </w:r>
      <w:r w:rsidR="00C008A3" w:rsidRPr="009F5467">
        <w:rPr>
          <w:rFonts w:asciiTheme="minorHAnsi" w:eastAsia="Arial" w:hAnsiTheme="minorHAnsi" w:cstheme="minorHAnsi"/>
          <w:b/>
          <w:bCs/>
        </w:rPr>
        <w:t>ccupational therapists under Medicare.</w:t>
      </w:r>
      <w:r w:rsidR="00C008A3" w:rsidRPr="009F5467">
        <w:rPr>
          <w:rFonts w:asciiTheme="minorHAnsi" w:eastAsia="Arial" w:hAnsiTheme="minorHAnsi" w:cstheme="minorHAnsi"/>
        </w:rPr>
        <w:t xml:space="preserve"> </w:t>
      </w:r>
      <w:r>
        <w:rPr>
          <w:rFonts w:asciiTheme="minorHAnsi" w:eastAsia="Arial" w:hAnsiTheme="minorHAnsi" w:cstheme="minorHAnsi"/>
        </w:rPr>
        <w:t>O</w:t>
      </w:r>
      <w:r w:rsidR="00C008A3" w:rsidRPr="009F5467">
        <w:rPr>
          <w:rFonts w:asciiTheme="minorHAnsi" w:eastAsia="Arial" w:hAnsiTheme="minorHAnsi" w:cstheme="minorHAnsi"/>
        </w:rPr>
        <w:t xml:space="preserve">ccupational therapists can provide services under Medicare, and this is a heavily </w:t>
      </w:r>
      <w:proofErr w:type="spellStart"/>
      <w:r w:rsidR="00C008A3" w:rsidRPr="009F5467">
        <w:rPr>
          <w:rFonts w:asciiTheme="minorHAnsi" w:eastAsia="Arial" w:hAnsiTheme="minorHAnsi" w:cstheme="minorHAnsi"/>
        </w:rPr>
        <w:t>under-utilised</w:t>
      </w:r>
      <w:proofErr w:type="spellEnd"/>
      <w:r w:rsidR="00C008A3" w:rsidRPr="009F5467">
        <w:rPr>
          <w:rFonts w:asciiTheme="minorHAnsi" w:eastAsia="Arial" w:hAnsiTheme="minorHAnsi" w:cstheme="minorHAnsi"/>
        </w:rPr>
        <w:t xml:space="preserve"> resource. Promoting it would give women with complex mental health challenges, chronic illness and trauma proactive </w:t>
      </w:r>
      <w:r w:rsidR="00C008A3" w:rsidRPr="009F5467">
        <w:rPr>
          <w:rFonts w:asciiTheme="minorHAnsi" w:eastAsia="Arial" w:hAnsiTheme="minorHAnsi" w:cstheme="minorHAnsi"/>
        </w:rPr>
        <w:lastRenderedPageBreak/>
        <w:t>support to address their health needs, return to work roles, attend to reproductive health and care for their families, without relying on already stretched hospital services.</w:t>
      </w:r>
    </w:p>
    <w:p w14:paraId="198076DE" w14:textId="77777777" w:rsidR="00C008A3" w:rsidRPr="009F5467" w:rsidRDefault="00C008A3">
      <w:pPr>
        <w:pStyle w:val="ListParagraph"/>
        <w:widowControl/>
        <w:numPr>
          <w:ilvl w:val="0"/>
          <w:numId w:val="32"/>
        </w:numPr>
        <w:autoSpaceDE/>
        <w:autoSpaceDN/>
        <w:spacing w:after="100" w:line="300" w:lineRule="auto"/>
        <w:rPr>
          <w:rFonts w:asciiTheme="minorHAnsi" w:hAnsiTheme="minorHAnsi" w:cstheme="minorHAnsi"/>
        </w:rPr>
      </w:pPr>
      <w:r w:rsidRPr="009F5467">
        <w:rPr>
          <w:rFonts w:asciiTheme="minorHAnsi" w:eastAsia="Arial" w:hAnsiTheme="minorHAnsi" w:cstheme="minorHAnsi"/>
          <w:b/>
          <w:bCs/>
        </w:rPr>
        <w:t>Telehealth.</w:t>
      </w:r>
      <w:r w:rsidRPr="009F5467">
        <w:rPr>
          <w:rFonts w:asciiTheme="minorHAnsi" w:eastAsia="Arial" w:hAnsiTheme="minorHAnsi" w:cstheme="minorHAnsi"/>
        </w:rPr>
        <w:t xml:space="preserve"> Telehealth, online workshops, self-paced learning and online groups should be funded so that women in regional and remote areas can reach </w:t>
      </w:r>
      <w:proofErr w:type="spellStart"/>
      <w:r w:rsidRPr="009F5467">
        <w:rPr>
          <w:rFonts w:asciiTheme="minorHAnsi" w:eastAsia="Arial" w:hAnsiTheme="minorHAnsi" w:cstheme="minorHAnsi"/>
        </w:rPr>
        <w:t>specialised</w:t>
      </w:r>
      <w:proofErr w:type="spellEnd"/>
      <w:r w:rsidRPr="009F5467">
        <w:rPr>
          <w:rFonts w:asciiTheme="minorHAnsi" w:eastAsia="Arial" w:hAnsiTheme="minorHAnsi" w:cstheme="minorHAnsi"/>
        </w:rPr>
        <w:t xml:space="preserve"> women’s health occupational therapy. This supports health equity and suits women whose needs fluctuate or who cannot easily travel with an infant.</w:t>
      </w:r>
    </w:p>
    <w:p w14:paraId="5B45CE35" w14:textId="0A45E876" w:rsidR="00C008A3" w:rsidRPr="009F5467" w:rsidRDefault="00C008A3" w:rsidP="00C0279B">
      <w:pPr>
        <w:pStyle w:val="Heading4"/>
      </w:pPr>
      <w:r w:rsidRPr="009F5467">
        <w:t>Reproductive health support and education, including contraception</w:t>
      </w:r>
    </w:p>
    <w:p w14:paraId="20049E8C" w14:textId="3F4869AC" w:rsidR="00C008A3" w:rsidRPr="009F5467" w:rsidRDefault="00C008A3" w:rsidP="00C008A3">
      <w:pPr>
        <w:spacing w:after="140" w:line="300" w:lineRule="auto"/>
        <w:rPr>
          <w:rFonts w:asciiTheme="minorHAnsi" w:hAnsiTheme="minorHAnsi" w:cstheme="minorHAnsi"/>
        </w:rPr>
      </w:pPr>
      <w:r w:rsidRPr="009F5467">
        <w:rPr>
          <w:rFonts w:asciiTheme="minorHAnsi" w:eastAsia="Arial" w:hAnsiTheme="minorHAnsi" w:cstheme="minorHAnsi"/>
        </w:rPr>
        <w:t xml:space="preserve">Antenatal and postpartum reproductive health education should be accessible to women with cognitive impairment, neurodivergence, low health literacy, trauma histories or limited English. Occupational therapists can adapt content, pacing, format and sensory environment, and can support women to apply information in their daily routines. We also recommend </w:t>
      </w:r>
      <w:r w:rsidR="007858B7">
        <w:rPr>
          <w:rFonts w:asciiTheme="minorHAnsi" w:eastAsia="Arial" w:hAnsiTheme="minorHAnsi" w:cstheme="minorHAnsi"/>
        </w:rPr>
        <w:t>reproductive health education for women with disabilities</w:t>
      </w:r>
      <w:r w:rsidRPr="009F5467">
        <w:rPr>
          <w:rFonts w:asciiTheme="minorHAnsi" w:eastAsia="Arial" w:hAnsiTheme="minorHAnsi" w:cstheme="minorHAnsi"/>
        </w:rPr>
        <w:t>, who are often left out of mainstream education.</w:t>
      </w:r>
    </w:p>
    <w:p w14:paraId="6C432BC9" w14:textId="634B45A2" w:rsidR="00C008A3" w:rsidRPr="009F5467" w:rsidRDefault="00C008A3" w:rsidP="00C0279B">
      <w:pPr>
        <w:pStyle w:val="Heading4"/>
      </w:pPr>
      <w:r w:rsidRPr="009F5467">
        <w:t>Research, education and training</w:t>
      </w:r>
    </w:p>
    <w:p w14:paraId="67F3B06F" w14:textId="1B2493DA" w:rsidR="00C008A3" w:rsidRPr="009F5467" w:rsidRDefault="00C008A3" w:rsidP="00C008A3">
      <w:pPr>
        <w:spacing w:after="140" w:line="300" w:lineRule="auto"/>
        <w:rPr>
          <w:rFonts w:asciiTheme="minorHAnsi" w:hAnsiTheme="minorHAnsi" w:cstheme="minorHAnsi"/>
        </w:rPr>
      </w:pPr>
      <w:r w:rsidRPr="009F5467">
        <w:rPr>
          <w:rFonts w:asciiTheme="minorHAnsi" w:eastAsia="Arial" w:hAnsiTheme="minorHAnsi" w:cstheme="minorHAnsi"/>
        </w:rPr>
        <w:t>We recommend that the Committee support:</w:t>
      </w:r>
    </w:p>
    <w:p w14:paraId="0AC47A41" w14:textId="77777777" w:rsidR="00C008A3" w:rsidRPr="009F5467" w:rsidRDefault="00C008A3">
      <w:pPr>
        <w:pStyle w:val="ListParagraph"/>
        <w:widowControl/>
        <w:numPr>
          <w:ilvl w:val="0"/>
          <w:numId w:val="32"/>
        </w:numPr>
        <w:autoSpaceDE/>
        <w:autoSpaceDN/>
        <w:spacing w:after="100" w:line="300" w:lineRule="auto"/>
        <w:rPr>
          <w:rFonts w:asciiTheme="minorHAnsi" w:hAnsiTheme="minorHAnsi" w:cstheme="minorHAnsi"/>
        </w:rPr>
      </w:pPr>
      <w:r w:rsidRPr="009F5467">
        <w:rPr>
          <w:rFonts w:asciiTheme="minorHAnsi" w:eastAsia="Arial" w:hAnsiTheme="minorHAnsi" w:cstheme="minorHAnsi"/>
        </w:rPr>
        <w:t>structured training and professional development to increase the skilled occupational therapy workforce in the women’s health sub-specialty;</w:t>
      </w:r>
    </w:p>
    <w:p w14:paraId="2E92C09E" w14:textId="77777777" w:rsidR="00C008A3" w:rsidRPr="009F5467" w:rsidRDefault="00C008A3">
      <w:pPr>
        <w:pStyle w:val="ListParagraph"/>
        <w:widowControl/>
        <w:numPr>
          <w:ilvl w:val="0"/>
          <w:numId w:val="32"/>
        </w:numPr>
        <w:autoSpaceDE/>
        <w:autoSpaceDN/>
        <w:spacing w:after="100" w:line="300" w:lineRule="auto"/>
        <w:rPr>
          <w:rFonts w:asciiTheme="minorHAnsi" w:hAnsiTheme="minorHAnsi" w:cstheme="minorHAnsi"/>
        </w:rPr>
      </w:pPr>
      <w:r w:rsidRPr="009F5467">
        <w:rPr>
          <w:rFonts w:asciiTheme="minorHAnsi" w:eastAsia="Arial" w:hAnsiTheme="minorHAnsi" w:cstheme="minorHAnsi"/>
        </w:rPr>
        <w:t xml:space="preserve">inclusion of </w:t>
      </w:r>
      <w:proofErr w:type="spellStart"/>
      <w:r w:rsidRPr="009F5467">
        <w:rPr>
          <w:rFonts w:asciiTheme="minorHAnsi" w:eastAsia="Arial" w:hAnsiTheme="minorHAnsi" w:cstheme="minorHAnsi"/>
        </w:rPr>
        <w:t>neuroaffirming</w:t>
      </w:r>
      <w:proofErr w:type="spellEnd"/>
      <w:r w:rsidRPr="009F5467">
        <w:rPr>
          <w:rFonts w:asciiTheme="minorHAnsi" w:eastAsia="Arial" w:hAnsiTheme="minorHAnsi" w:cstheme="minorHAnsi"/>
        </w:rPr>
        <w:t xml:space="preserve"> and trauma-informed practice in education for all professionals working in maternal care; and</w:t>
      </w:r>
    </w:p>
    <w:p w14:paraId="4EF43F4B" w14:textId="77777777" w:rsidR="00C008A3" w:rsidRPr="00C0279B" w:rsidRDefault="00C008A3">
      <w:pPr>
        <w:pStyle w:val="ListParagraph"/>
        <w:widowControl/>
        <w:numPr>
          <w:ilvl w:val="0"/>
          <w:numId w:val="32"/>
        </w:numPr>
        <w:autoSpaceDE/>
        <w:autoSpaceDN/>
        <w:spacing w:after="100" w:line="300" w:lineRule="auto"/>
        <w:rPr>
          <w:rFonts w:asciiTheme="minorHAnsi" w:hAnsiTheme="minorHAnsi" w:cstheme="minorHAnsi"/>
        </w:rPr>
      </w:pPr>
      <w:r w:rsidRPr="009F5467">
        <w:rPr>
          <w:rFonts w:asciiTheme="minorHAnsi" w:eastAsia="Arial" w:hAnsiTheme="minorHAnsi" w:cstheme="minorHAnsi"/>
        </w:rPr>
        <w:t>funded research on occupational therapy models in maternity, perinatal mental health and pain, including partnerships with consumers.</w:t>
      </w:r>
    </w:p>
    <w:p w14:paraId="09D13537" w14:textId="3B861144" w:rsidR="00C0279B" w:rsidRPr="00C0279B" w:rsidRDefault="00C0279B" w:rsidP="00C0279B">
      <w:pPr>
        <w:widowControl/>
        <w:autoSpaceDE/>
        <w:autoSpaceDN/>
        <w:spacing w:after="100" w:line="300" w:lineRule="auto"/>
        <w:ind w:left="360"/>
        <w:rPr>
          <w:rFonts w:asciiTheme="minorHAnsi" w:hAnsiTheme="minorHAnsi" w:cstheme="minorHAnsi"/>
        </w:rPr>
      </w:pPr>
    </w:p>
    <w:p w14:paraId="0B2D0E8B" w14:textId="4C3114FB" w:rsidR="00C008A3" w:rsidRPr="009F5467" w:rsidRDefault="00C008A3" w:rsidP="00C0279B">
      <w:pPr>
        <w:pStyle w:val="Heading4"/>
      </w:pPr>
      <w:r w:rsidRPr="009F5467">
        <w:t>Policies, data collection and monitoring</w:t>
      </w:r>
    </w:p>
    <w:p w14:paraId="5A93AC5B" w14:textId="77777777" w:rsidR="00C008A3" w:rsidRPr="009F5467" w:rsidRDefault="00C008A3" w:rsidP="00C008A3">
      <w:pPr>
        <w:spacing w:after="140" w:line="300" w:lineRule="auto"/>
        <w:rPr>
          <w:rFonts w:asciiTheme="minorHAnsi" w:hAnsiTheme="minorHAnsi" w:cstheme="minorHAnsi"/>
        </w:rPr>
      </w:pPr>
      <w:r w:rsidRPr="009F5467">
        <w:rPr>
          <w:rFonts w:asciiTheme="minorHAnsi" w:eastAsia="Arial" w:hAnsiTheme="minorHAnsi" w:cstheme="minorHAnsi"/>
        </w:rPr>
        <w:t>Services for women with hidden and invisible needs are hard to plan because those needs are hard to count. We recommend that data collection and monitoring processes across Commonwealth, state and territory programs capture disability (including psychosocial disability and neurodivergence), First Nations status, cultural and linguistic background, sexuality and gender identity, and regional location, and that they record the allied health professions involved in a woman’s care, including occupational therapy. Outcome measures should include participation and function, not just clinical indicators.</w:t>
      </w:r>
    </w:p>
    <w:p w14:paraId="6E48124C" w14:textId="77777777" w:rsidR="00C008A3" w:rsidRPr="009F5467" w:rsidRDefault="00C008A3" w:rsidP="007858B7">
      <w:pPr>
        <w:pStyle w:val="Heading2"/>
      </w:pPr>
      <w:r w:rsidRPr="009F5467">
        <w:rPr>
          <w:rFonts w:eastAsia="Arial"/>
        </w:rPr>
        <w:lastRenderedPageBreak/>
        <w:t>5. Pain</w:t>
      </w:r>
    </w:p>
    <w:p w14:paraId="5DF2D562" w14:textId="77777777" w:rsidR="00C008A3" w:rsidRPr="009F5467" w:rsidRDefault="00C008A3" w:rsidP="00C008A3">
      <w:pPr>
        <w:spacing w:after="140" w:line="300" w:lineRule="auto"/>
        <w:rPr>
          <w:rFonts w:asciiTheme="minorHAnsi" w:hAnsiTheme="minorHAnsi" w:cstheme="minorHAnsi"/>
        </w:rPr>
      </w:pPr>
      <w:r w:rsidRPr="009F5467">
        <w:rPr>
          <w:rFonts w:asciiTheme="minorHAnsi" w:eastAsia="Arial" w:hAnsiTheme="minorHAnsi" w:cstheme="minorHAnsi"/>
          <w:i/>
          <w:iCs/>
        </w:rPr>
        <w:t>Responds to Terms of Reference (</w:t>
      </w:r>
      <w:proofErr w:type="spellStart"/>
      <w:r w:rsidRPr="009F5467">
        <w:rPr>
          <w:rFonts w:asciiTheme="minorHAnsi" w:eastAsia="Arial" w:hAnsiTheme="minorHAnsi" w:cstheme="minorHAnsi"/>
          <w:i/>
          <w:iCs/>
        </w:rPr>
        <w:t>i</w:t>
      </w:r>
      <w:proofErr w:type="spellEnd"/>
      <w:r w:rsidRPr="009F5467">
        <w:rPr>
          <w:rFonts w:asciiTheme="minorHAnsi" w:eastAsia="Arial" w:hAnsiTheme="minorHAnsi" w:cstheme="minorHAnsi"/>
          <w:i/>
          <w:iCs/>
        </w:rPr>
        <w:t>), (j) and (k).</w:t>
      </w:r>
    </w:p>
    <w:p w14:paraId="47F10078" w14:textId="7F716003" w:rsidR="00C008A3" w:rsidRPr="009F5467" w:rsidRDefault="00C008A3" w:rsidP="00C0279B">
      <w:pPr>
        <w:pStyle w:val="Heading4"/>
      </w:pPr>
      <w:r w:rsidRPr="009F5467">
        <w:t>How women experience long-lasting pain</w:t>
      </w:r>
    </w:p>
    <w:p w14:paraId="45D1336C" w14:textId="3FA955A0" w:rsidR="00C008A3" w:rsidRPr="009F5467" w:rsidRDefault="00C008A3" w:rsidP="00C008A3">
      <w:pPr>
        <w:spacing w:after="140" w:line="300" w:lineRule="auto"/>
        <w:rPr>
          <w:rFonts w:asciiTheme="minorHAnsi" w:hAnsiTheme="minorHAnsi" w:cstheme="minorHAnsi"/>
        </w:rPr>
      </w:pPr>
      <w:r w:rsidRPr="009F5467">
        <w:rPr>
          <w:rFonts w:asciiTheme="minorHAnsi" w:eastAsia="Arial" w:hAnsiTheme="minorHAnsi" w:cstheme="minorHAnsi"/>
        </w:rPr>
        <w:t xml:space="preserve">Chronic pain is </w:t>
      </w:r>
      <w:proofErr w:type="spellStart"/>
      <w:r w:rsidRPr="009F5467">
        <w:rPr>
          <w:rFonts w:asciiTheme="minorHAnsi" w:eastAsia="Arial" w:hAnsiTheme="minorHAnsi" w:cstheme="minorHAnsi"/>
        </w:rPr>
        <w:t>recognised</w:t>
      </w:r>
      <w:proofErr w:type="spellEnd"/>
      <w:r w:rsidRPr="009F5467">
        <w:rPr>
          <w:rFonts w:asciiTheme="minorHAnsi" w:eastAsia="Arial" w:hAnsiTheme="minorHAnsi" w:cstheme="minorHAnsi"/>
        </w:rPr>
        <w:t xml:space="preserve"> by the World Health Organization as a public health problem, and a systematic review cited in the Canadian scoping review estimated its global prevalence at 30.3% (Lagueux et al., 2018). Women experience pain across the lifespan, including endometriosis and other pelvic pain, pregnancy-related and postpartum pain, musculoskeletal pain, and pain associated with hypermobility and EDS. Pain is invisible. It fluctuates, it is not reliably captured in a single appointment, and a woman in pain may appear to be coping when she is not.</w:t>
      </w:r>
      <w:r w:rsidR="007858B7">
        <w:rPr>
          <w:rFonts w:asciiTheme="minorHAnsi" w:eastAsia="Arial" w:hAnsiTheme="minorHAnsi" w:cstheme="minorHAnsi"/>
        </w:rPr>
        <w:t xml:space="preserve"> Women with autism and other neurodivergences may have a high pain tolerance and challenges to communicate their pain, resulting in lower access to services. </w:t>
      </w:r>
      <w:r w:rsidR="007858B7" w:rsidRPr="009F5467">
        <w:rPr>
          <w:rFonts w:asciiTheme="minorHAnsi" w:eastAsia="Arial" w:hAnsiTheme="minorHAnsi" w:cstheme="minorHAnsi"/>
        </w:rPr>
        <w:t xml:space="preserve">Hypermobility and EDS are not incorporated into many programs. The health care that is offered is siloed and does not </w:t>
      </w:r>
      <w:proofErr w:type="gramStart"/>
      <w:r w:rsidR="007858B7" w:rsidRPr="009F5467">
        <w:rPr>
          <w:rFonts w:asciiTheme="minorHAnsi" w:eastAsia="Arial" w:hAnsiTheme="minorHAnsi" w:cstheme="minorHAnsi"/>
        </w:rPr>
        <w:t>take into account</w:t>
      </w:r>
      <w:proofErr w:type="gramEnd"/>
      <w:r w:rsidR="007858B7" w:rsidRPr="009F5467">
        <w:rPr>
          <w:rFonts w:asciiTheme="minorHAnsi" w:eastAsia="Arial" w:hAnsiTheme="minorHAnsi" w:cstheme="minorHAnsi"/>
        </w:rPr>
        <w:t xml:space="preserve"> </w:t>
      </w:r>
      <w:r w:rsidR="007858B7">
        <w:rPr>
          <w:rFonts w:asciiTheme="minorHAnsi" w:eastAsia="Arial" w:hAnsiTheme="minorHAnsi" w:cstheme="minorHAnsi"/>
        </w:rPr>
        <w:t xml:space="preserve">other illnesses or </w:t>
      </w:r>
      <w:proofErr w:type="gramStart"/>
      <w:r w:rsidR="007858B7">
        <w:rPr>
          <w:rFonts w:asciiTheme="minorHAnsi" w:eastAsia="Arial" w:hAnsiTheme="minorHAnsi" w:cstheme="minorHAnsi"/>
        </w:rPr>
        <w:t xml:space="preserve">disabilities,  </w:t>
      </w:r>
      <w:r w:rsidR="007858B7" w:rsidRPr="009F5467">
        <w:rPr>
          <w:rFonts w:asciiTheme="minorHAnsi" w:eastAsia="Arial" w:hAnsiTheme="minorHAnsi" w:cstheme="minorHAnsi"/>
        </w:rPr>
        <w:t>caring</w:t>
      </w:r>
      <w:proofErr w:type="gramEnd"/>
      <w:r w:rsidR="007858B7" w:rsidRPr="009F5467">
        <w:rPr>
          <w:rFonts w:asciiTheme="minorHAnsi" w:eastAsia="Arial" w:hAnsiTheme="minorHAnsi" w:cstheme="minorHAnsi"/>
        </w:rPr>
        <w:t xml:space="preserve"> responsibilities or the realities of a woman’s daily life</w:t>
      </w:r>
      <w:r w:rsidR="007858B7">
        <w:rPr>
          <w:rFonts w:asciiTheme="minorHAnsi" w:hAnsiTheme="minorHAnsi" w:cstheme="minorHAnsi"/>
        </w:rPr>
        <w:t xml:space="preserve">. </w:t>
      </w:r>
      <w:r w:rsidRPr="009F5467">
        <w:rPr>
          <w:rFonts w:asciiTheme="minorHAnsi" w:eastAsia="Arial" w:hAnsiTheme="minorHAnsi" w:cstheme="minorHAnsi"/>
        </w:rPr>
        <w:t xml:space="preserve">Women who are </w:t>
      </w:r>
      <w:proofErr w:type="gramStart"/>
      <w:r w:rsidRPr="009F5467">
        <w:rPr>
          <w:rFonts w:asciiTheme="minorHAnsi" w:eastAsia="Arial" w:hAnsiTheme="minorHAnsi" w:cstheme="minorHAnsi"/>
        </w:rPr>
        <w:t>also  First</w:t>
      </w:r>
      <w:proofErr w:type="gramEnd"/>
      <w:r w:rsidRPr="009F5467">
        <w:rPr>
          <w:rFonts w:asciiTheme="minorHAnsi" w:eastAsia="Arial" w:hAnsiTheme="minorHAnsi" w:cstheme="minorHAnsi"/>
        </w:rPr>
        <w:t xml:space="preserve"> Nations, from culturally and linguistically diverse </w:t>
      </w:r>
      <w:proofErr w:type="gramStart"/>
      <w:r w:rsidRPr="009F5467">
        <w:rPr>
          <w:rFonts w:asciiTheme="minorHAnsi" w:eastAsia="Arial" w:hAnsiTheme="minorHAnsi" w:cstheme="minorHAnsi"/>
        </w:rPr>
        <w:t>backgrounds  face</w:t>
      </w:r>
      <w:proofErr w:type="gramEnd"/>
      <w:r w:rsidRPr="009F5467">
        <w:rPr>
          <w:rFonts w:asciiTheme="minorHAnsi" w:eastAsia="Arial" w:hAnsiTheme="minorHAnsi" w:cstheme="minorHAnsi"/>
        </w:rPr>
        <w:t xml:space="preserve"> compounded barriers.</w:t>
      </w:r>
    </w:p>
    <w:p w14:paraId="05AE8297" w14:textId="29D9204E" w:rsidR="00C008A3" w:rsidRPr="009F5467" w:rsidRDefault="00C008A3" w:rsidP="00C0279B">
      <w:pPr>
        <w:pStyle w:val="Heading4"/>
      </w:pPr>
      <w:r w:rsidRPr="009F5467">
        <w:t>The occupational therapy contribution to pain management</w:t>
      </w:r>
    </w:p>
    <w:p w14:paraId="12D491DB" w14:textId="77777777" w:rsidR="00C008A3" w:rsidRPr="009F5467" w:rsidRDefault="00C008A3" w:rsidP="00C008A3">
      <w:pPr>
        <w:spacing w:after="140" w:line="300" w:lineRule="auto"/>
        <w:rPr>
          <w:rFonts w:asciiTheme="minorHAnsi" w:hAnsiTheme="minorHAnsi" w:cstheme="minorHAnsi"/>
        </w:rPr>
      </w:pPr>
      <w:r w:rsidRPr="009F5467">
        <w:rPr>
          <w:rFonts w:asciiTheme="minorHAnsi" w:eastAsia="Arial" w:hAnsiTheme="minorHAnsi" w:cstheme="minorHAnsi"/>
        </w:rPr>
        <w:t>A scoping review of 52 sources described occupational therapists as making a unique contribution to chronic pain management through their focus on occupational performance and engagement (Lagueux et al., 2018). A systematic review recommended that occupational therapy interventions start from the identified needs of the person with chronic pain (</w:t>
      </w:r>
      <w:proofErr w:type="spellStart"/>
      <w:r w:rsidRPr="009F5467">
        <w:rPr>
          <w:rFonts w:asciiTheme="minorHAnsi" w:eastAsia="Arial" w:hAnsiTheme="minorHAnsi" w:cstheme="minorHAnsi"/>
        </w:rPr>
        <w:t>Hesselstrand</w:t>
      </w:r>
      <w:proofErr w:type="spellEnd"/>
      <w:r w:rsidRPr="009F5467">
        <w:rPr>
          <w:rFonts w:asciiTheme="minorHAnsi" w:eastAsia="Arial" w:hAnsiTheme="minorHAnsi" w:cstheme="minorHAnsi"/>
        </w:rPr>
        <w:t xml:space="preserve"> et al., 2015). A qualitative study of occupational therapists found that clients were most successful in managing chronic pain, wellness and occupational performance when interventions were health-promoting and clients were enabled to take an active role (Ochoa &amp; Skubik-Peplaski, 2024). In adolescents, a systematic review of 23 studies of occupational therapy-related interventions for </w:t>
      </w:r>
      <w:proofErr w:type="spellStart"/>
      <w:r w:rsidRPr="009F5467">
        <w:rPr>
          <w:rFonts w:asciiTheme="minorHAnsi" w:eastAsia="Arial" w:hAnsiTheme="minorHAnsi" w:cstheme="minorHAnsi"/>
        </w:rPr>
        <w:t>paediatric</w:t>
      </w:r>
      <w:proofErr w:type="spellEnd"/>
      <w:r w:rsidRPr="009F5467">
        <w:rPr>
          <w:rFonts w:asciiTheme="minorHAnsi" w:eastAsia="Arial" w:hAnsiTheme="minorHAnsi" w:cstheme="minorHAnsi"/>
        </w:rPr>
        <w:t xml:space="preserve"> chronic pain found significant decreases in pain and disability for psychological, interprofessional, telehealth and biomechanical approaches (Suder et al., 2023).</w:t>
      </w:r>
    </w:p>
    <w:p w14:paraId="2A9824CB" w14:textId="6BA165BC" w:rsidR="00C008A3" w:rsidRPr="009F5467" w:rsidRDefault="00C008A3" w:rsidP="00C0279B">
      <w:pPr>
        <w:pStyle w:val="Heading4"/>
      </w:pPr>
      <w:r w:rsidRPr="009F5467">
        <w:t>Barriers to effective pain management</w:t>
      </w:r>
    </w:p>
    <w:p w14:paraId="29C83F70" w14:textId="77777777" w:rsidR="00C008A3" w:rsidRPr="009F5467" w:rsidRDefault="00C008A3" w:rsidP="00C008A3">
      <w:pPr>
        <w:spacing w:after="140" w:line="300" w:lineRule="auto"/>
        <w:rPr>
          <w:rFonts w:asciiTheme="minorHAnsi" w:hAnsiTheme="minorHAnsi" w:cstheme="minorHAnsi"/>
        </w:rPr>
      </w:pPr>
      <w:r w:rsidRPr="009F5467">
        <w:rPr>
          <w:rFonts w:asciiTheme="minorHAnsi" w:eastAsia="Arial" w:hAnsiTheme="minorHAnsi" w:cstheme="minorHAnsi"/>
        </w:rPr>
        <w:t>In our experience, the main barriers are as follows.</w:t>
      </w:r>
    </w:p>
    <w:p w14:paraId="02366E4E" w14:textId="77777777" w:rsidR="00C008A3" w:rsidRPr="009F5467" w:rsidRDefault="00C008A3">
      <w:pPr>
        <w:pStyle w:val="ListParagraph"/>
        <w:widowControl/>
        <w:numPr>
          <w:ilvl w:val="0"/>
          <w:numId w:val="32"/>
        </w:numPr>
        <w:autoSpaceDE/>
        <w:autoSpaceDN/>
        <w:spacing w:after="100" w:line="300" w:lineRule="auto"/>
        <w:rPr>
          <w:rFonts w:asciiTheme="minorHAnsi" w:hAnsiTheme="minorHAnsi" w:cstheme="minorHAnsi"/>
        </w:rPr>
      </w:pPr>
      <w:r w:rsidRPr="009F5467">
        <w:rPr>
          <w:rFonts w:asciiTheme="minorHAnsi" w:eastAsia="Arial" w:hAnsiTheme="minorHAnsi" w:cstheme="minorHAnsi"/>
          <w:b/>
          <w:bCs/>
        </w:rPr>
        <w:t>Range and affordability of treatment.</w:t>
      </w:r>
      <w:r w:rsidRPr="009F5467">
        <w:rPr>
          <w:rFonts w:asciiTheme="minorHAnsi" w:eastAsia="Arial" w:hAnsiTheme="minorHAnsi" w:cstheme="minorHAnsi"/>
        </w:rPr>
        <w:t xml:space="preserve"> Multidisciplinary pain programs are scarce, expensive and often located far from where women live.</w:t>
      </w:r>
    </w:p>
    <w:p w14:paraId="7D3245CD" w14:textId="77777777" w:rsidR="00C008A3" w:rsidRPr="009F5467" w:rsidRDefault="00C008A3">
      <w:pPr>
        <w:pStyle w:val="ListParagraph"/>
        <w:widowControl/>
        <w:numPr>
          <w:ilvl w:val="0"/>
          <w:numId w:val="32"/>
        </w:numPr>
        <w:autoSpaceDE/>
        <w:autoSpaceDN/>
        <w:spacing w:after="100" w:line="300" w:lineRule="auto"/>
        <w:rPr>
          <w:rFonts w:asciiTheme="minorHAnsi" w:hAnsiTheme="minorHAnsi" w:cstheme="minorHAnsi"/>
        </w:rPr>
      </w:pPr>
      <w:r w:rsidRPr="009F5467">
        <w:rPr>
          <w:rFonts w:asciiTheme="minorHAnsi" w:eastAsia="Arial" w:hAnsiTheme="minorHAnsi" w:cstheme="minorHAnsi"/>
          <w:b/>
          <w:bCs/>
        </w:rPr>
        <w:lastRenderedPageBreak/>
        <w:t>Exclusion of conditions.</w:t>
      </w:r>
      <w:r w:rsidRPr="009F5467">
        <w:rPr>
          <w:rFonts w:asciiTheme="minorHAnsi" w:eastAsia="Arial" w:hAnsiTheme="minorHAnsi" w:cstheme="minorHAnsi"/>
        </w:rPr>
        <w:t xml:space="preserve"> Hypermobility and EDS are not incorporated into many pain programs.</w:t>
      </w:r>
    </w:p>
    <w:p w14:paraId="0CACD4C5" w14:textId="77777777" w:rsidR="00C008A3" w:rsidRPr="009F5467" w:rsidRDefault="00C008A3">
      <w:pPr>
        <w:pStyle w:val="ListParagraph"/>
        <w:widowControl/>
        <w:numPr>
          <w:ilvl w:val="0"/>
          <w:numId w:val="32"/>
        </w:numPr>
        <w:autoSpaceDE/>
        <w:autoSpaceDN/>
        <w:spacing w:after="100" w:line="300" w:lineRule="auto"/>
        <w:rPr>
          <w:rFonts w:asciiTheme="minorHAnsi" w:hAnsiTheme="minorHAnsi" w:cstheme="minorHAnsi"/>
        </w:rPr>
      </w:pPr>
      <w:r w:rsidRPr="009F5467">
        <w:rPr>
          <w:rFonts w:asciiTheme="minorHAnsi" w:eastAsia="Arial" w:hAnsiTheme="minorHAnsi" w:cstheme="minorHAnsi"/>
          <w:b/>
          <w:bCs/>
        </w:rPr>
        <w:t>Programs designed without caring responsibilities in mind.</w:t>
      </w:r>
      <w:r w:rsidRPr="009F5467">
        <w:rPr>
          <w:rFonts w:asciiTheme="minorHAnsi" w:eastAsia="Arial" w:hAnsiTheme="minorHAnsi" w:cstheme="minorHAnsi"/>
        </w:rPr>
        <w:t xml:space="preserve"> Fixed-hour, in-person programs are inaccessible to many mothers and carers.</w:t>
      </w:r>
    </w:p>
    <w:p w14:paraId="5D6B4761" w14:textId="77777777" w:rsidR="00C008A3" w:rsidRPr="006964C6" w:rsidRDefault="00C008A3">
      <w:pPr>
        <w:pStyle w:val="ListParagraph"/>
        <w:widowControl/>
        <w:numPr>
          <w:ilvl w:val="0"/>
          <w:numId w:val="32"/>
        </w:numPr>
        <w:autoSpaceDE/>
        <w:autoSpaceDN/>
        <w:spacing w:after="100" w:line="300" w:lineRule="auto"/>
        <w:rPr>
          <w:rFonts w:asciiTheme="minorHAnsi" w:hAnsiTheme="minorHAnsi" w:cstheme="minorHAnsi"/>
        </w:rPr>
      </w:pPr>
      <w:r w:rsidRPr="009F5467">
        <w:rPr>
          <w:rFonts w:asciiTheme="minorHAnsi" w:eastAsia="Arial" w:hAnsiTheme="minorHAnsi" w:cstheme="minorHAnsi"/>
          <w:b/>
          <w:bCs/>
        </w:rPr>
        <w:t>Absence of occupational therapy in pain pathways.</w:t>
      </w:r>
      <w:r w:rsidRPr="009F5467">
        <w:rPr>
          <w:rFonts w:asciiTheme="minorHAnsi" w:eastAsia="Arial" w:hAnsiTheme="minorHAnsi" w:cstheme="minorHAnsi"/>
        </w:rPr>
        <w:t xml:space="preserve"> Occupational therapists are not routinely included in women’s pain and pelvic health pathways, although this is where activity and participation problems are addressed.</w:t>
      </w:r>
    </w:p>
    <w:p w14:paraId="1FB78838" w14:textId="509BBC72" w:rsidR="006964C6" w:rsidRPr="006964C6" w:rsidRDefault="006964C6">
      <w:pPr>
        <w:pStyle w:val="ListParagraph"/>
        <w:widowControl/>
        <w:numPr>
          <w:ilvl w:val="0"/>
          <w:numId w:val="32"/>
        </w:numPr>
        <w:autoSpaceDE/>
        <w:autoSpaceDN/>
        <w:spacing w:after="100" w:line="300" w:lineRule="auto"/>
        <w:rPr>
          <w:rFonts w:asciiTheme="minorHAnsi" w:hAnsiTheme="minorHAnsi" w:cstheme="minorHAnsi"/>
        </w:rPr>
      </w:pPr>
      <w:r>
        <w:rPr>
          <w:rFonts w:asciiTheme="minorHAnsi" w:eastAsia="Arial" w:hAnsiTheme="minorHAnsi" w:cstheme="minorHAnsi"/>
          <w:b/>
          <w:bCs/>
        </w:rPr>
        <w:t xml:space="preserve">Inadequate </w:t>
      </w:r>
      <w:proofErr w:type="spellStart"/>
      <w:r>
        <w:rPr>
          <w:rFonts w:asciiTheme="minorHAnsi" w:eastAsia="Arial" w:hAnsiTheme="minorHAnsi" w:cstheme="minorHAnsi"/>
          <w:b/>
          <w:bCs/>
        </w:rPr>
        <w:t>medicare</w:t>
      </w:r>
      <w:proofErr w:type="spellEnd"/>
      <w:r>
        <w:rPr>
          <w:rFonts w:asciiTheme="minorHAnsi" w:eastAsia="Arial" w:hAnsiTheme="minorHAnsi" w:cstheme="minorHAnsi"/>
          <w:b/>
          <w:bCs/>
        </w:rPr>
        <w:t xml:space="preserve"> item numbers to allow access to Occupational Therapy for pain.</w:t>
      </w:r>
      <w:r>
        <w:rPr>
          <w:rFonts w:asciiTheme="minorHAnsi" w:hAnsiTheme="minorHAnsi" w:cstheme="minorHAnsi"/>
        </w:rPr>
        <w:t xml:space="preserve"> 5 sessions of chronic disease management sessions per year is an inadequate number.</w:t>
      </w:r>
    </w:p>
    <w:p w14:paraId="779E4ED1" w14:textId="77777777" w:rsidR="00C008A3" w:rsidRPr="009F5467" w:rsidRDefault="00C008A3" w:rsidP="00C008A3">
      <w:pPr>
        <w:spacing w:before="120" w:after="140" w:line="300" w:lineRule="auto"/>
        <w:rPr>
          <w:rFonts w:asciiTheme="minorHAnsi" w:hAnsiTheme="minorHAnsi" w:cstheme="minorHAnsi"/>
        </w:rPr>
      </w:pPr>
      <w:r w:rsidRPr="009F5467">
        <w:rPr>
          <w:rFonts w:asciiTheme="minorHAnsi" w:eastAsia="Arial" w:hAnsiTheme="minorHAnsi" w:cstheme="minorHAnsi"/>
        </w:rPr>
        <w:t>We recommend that occupational therapists be included in multidisciplinary pain and pelvic health pathways, that these pathways explicitly include hypermobility and EDS, and that they be offered through flexible, telehealth-enabled and relationship-based models.</w:t>
      </w:r>
    </w:p>
    <w:p w14:paraId="5858072B" w14:textId="6CF09063" w:rsidR="00C008A3" w:rsidRPr="009F5467" w:rsidRDefault="006964C6" w:rsidP="00C0279B">
      <w:pPr>
        <w:pStyle w:val="Heading2"/>
      </w:pPr>
      <w:r>
        <w:rPr>
          <w:rFonts w:eastAsia="Arial"/>
        </w:rPr>
        <w:t>6</w:t>
      </w:r>
      <w:r w:rsidR="00C008A3" w:rsidRPr="009F5467">
        <w:rPr>
          <w:rFonts w:eastAsia="Arial"/>
        </w:rPr>
        <w:t>. Women’s health across the lifespan</w:t>
      </w:r>
    </w:p>
    <w:p w14:paraId="4417D3D6" w14:textId="77777777" w:rsidR="00C008A3" w:rsidRPr="009F5467" w:rsidRDefault="00C008A3" w:rsidP="00C008A3">
      <w:pPr>
        <w:spacing w:after="140" w:line="300" w:lineRule="auto"/>
        <w:rPr>
          <w:rFonts w:asciiTheme="minorHAnsi" w:hAnsiTheme="minorHAnsi" w:cstheme="minorHAnsi"/>
        </w:rPr>
      </w:pPr>
      <w:r w:rsidRPr="009F5467">
        <w:rPr>
          <w:rFonts w:asciiTheme="minorHAnsi" w:eastAsia="Arial" w:hAnsiTheme="minorHAnsi" w:cstheme="minorHAnsi"/>
          <w:i/>
          <w:iCs/>
        </w:rPr>
        <w:t>Responds to Term of Reference (p), related matters.</w:t>
      </w:r>
    </w:p>
    <w:p w14:paraId="6126A310" w14:textId="4DB849B0" w:rsidR="00C008A3" w:rsidRPr="009F5467" w:rsidRDefault="00C008A3" w:rsidP="00C0279B">
      <w:pPr>
        <w:pStyle w:val="Heading4"/>
      </w:pPr>
      <w:r w:rsidRPr="009F5467">
        <w:t xml:space="preserve">Adolescence and </w:t>
      </w:r>
      <w:proofErr w:type="spellStart"/>
      <w:r w:rsidRPr="009F5467">
        <w:t>matrescence</w:t>
      </w:r>
      <w:proofErr w:type="spellEnd"/>
    </w:p>
    <w:p w14:paraId="224A935A" w14:textId="77777777" w:rsidR="00C008A3" w:rsidRPr="009F5467" w:rsidRDefault="00C008A3" w:rsidP="00C008A3">
      <w:pPr>
        <w:spacing w:after="140" w:line="300" w:lineRule="auto"/>
        <w:rPr>
          <w:rFonts w:asciiTheme="minorHAnsi" w:hAnsiTheme="minorHAnsi" w:cstheme="minorHAnsi"/>
        </w:rPr>
      </w:pPr>
      <w:r w:rsidRPr="009F5467">
        <w:rPr>
          <w:rFonts w:asciiTheme="minorHAnsi" w:eastAsia="Arial" w:hAnsiTheme="minorHAnsi" w:cstheme="minorHAnsi"/>
        </w:rPr>
        <w:t xml:space="preserve">Reproductive health needs begin well before pregnancy. We recommend that referral pathways between occupational therapists, GPs and obstetricians and </w:t>
      </w:r>
      <w:proofErr w:type="spellStart"/>
      <w:r w:rsidRPr="009F5467">
        <w:rPr>
          <w:rFonts w:asciiTheme="minorHAnsi" w:eastAsia="Arial" w:hAnsiTheme="minorHAnsi" w:cstheme="minorHAnsi"/>
        </w:rPr>
        <w:t>gynaecologists</w:t>
      </w:r>
      <w:proofErr w:type="spellEnd"/>
      <w:r w:rsidRPr="009F5467">
        <w:rPr>
          <w:rFonts w:asciiTheme="minorHAnsi" w:eastAsia="Arial" w:hAnsiTheme="minorHAnsi" w:cstheme="minorHAnsi"/>
        </w:rPr>
        <w:t xml:space="preserve"> explicitly include adolescents and young women from around 15 years, particularly those with disability, chronic illness or trauma histories. Early support with pain, menstrual health, sensory processing and mental health can prevent problems becoming chronic.</w:t>
      </w:r>
    </w:p>
    <w:p w14:paraId="2203A4CF" w14:textId="18701908" w:rsidR="00C008A3" w:rsidRPr="009F5467" w:rsidRDefault="00C008A3" w:rsidP="00C0279B">
      <w:pPr>
        <w:pStyle w:val="Heading4"/>
      </w:pPr>
      <w:r w:rsidRPr="009F5467">
        <w:t>Pelvic health</w:t>
      </w:r>
    </w:p>
    <w:p w14:paraId="00D66D20" w14:textId="77777777" w:rsidR="00C008A3" w:rsidRPr="009F5467" w:rsidRDefault="00C008A3" w:rsidP="00C008A3">
      <w:pPr>
        <w:spacing w:after="140" w:line="300" w:lineRule="auto"/>
        <w:rPr>
          <w:rFonts w:asciiTheme="minorHAnsi" w:hAnsiTheme="minorHAnsi" w:cstheme="minorHAnsi"/>
        </w:rPr>
      </w:pPr>
      <w:r w:rsidRPr="009F5467">
        <w:rPr>
          <w:rFonts w:asciiTheme="minorHAnsi" w:eastAsia="Arial" w:hAnsiTheme="minorHAnsi" w:cstheme="minorHAnsi"/>
        </w:rPr>
        <w:t xml:space="preserve">Pelvic floor dysfunction affects women across the lifespan. The 2026 study by </w:t>
      </w:r>
      <w:proofErr w:type="spellStart"/>
      <w:r w:rsidRPr="009F5467">
        <w:rPr>
          <w:rFonts w:asciiTheme="minorHAnsi" w:eastAsia="Arial" w:hAnsiTheme="minorHAnsi" w:cstheme="minorHAnsi"/>
        </w:rPr>
        <w:t>Fyhrie</w:t>
      </w:r>
      <w:proofErr w:type="spellEnd"/>
      <w:r w:rsidRPr="009F5467">
        <w:rPr>
          <w:rFonts w:asciiTheme="minorHAnsi" w:eastAsia="Arial" w:hAnsiTheme="minorHAnsi" w:cstheme="minorHAnsi"/>
        </w:rPr>
        <w:t xml:space="preserve"> and colleagues provides evidence that occupational therapists see a unique role for the profession in pelvic health care (</w:t>
      </w:r>
      <w:proofErr w:type="spellStart"/>
      <w:r w:rsidRPr="009F5467">
        <w:rPr>
          <w:rFonts w:asciiTheme="minorHAnsi" w:eastAsia="Arial" w:hAnsiTheme="minorHAnsi" w:cstheme="minorHAnsi"/>
        </w:rPr>
        <w:t>Fyhrie</w:t>
      </w:r>
      <w:proofErr w:type="spellEnd"/>
      <w:r w:rsidRPr="009F5467">
        <w:rPr>
          <w:rFonts w:asciiTheme="minorHAnsi" w:eastAsia="Arial" w:hAnsiTheme="minorHAnsi" w:cstheme="minorHAnsi"/>
        </w:rPr>
        <w:t xml:space="preserve"> et al., 2026). A case series of women’s experiences of occupational therapy for pelvic floor dysfunction was presented to the American Occupational Therapy Association in 2023 (Schmid et al., 2023). We encourage the Committee to include occupational therapy in its consideration of pelvic health services alongside physiotherapy, consistent with the reference to pelvic health services in item (d).</w:t>
      </w:r>
    </w:p>
    <w:p w14:paraId="3D250286" w14:textId="4434F48B" w:rsidR="00C008A3" w:rsidRPr="009F5467" w:rsidRDefault="00C008A3" w:rsidP="00C0279B">
      <w:pPr>
        <w:pStyle w:val="Heading4"/>
      </w:pPr>
      <w:r w:rsidRPr="009F5467">
        <w:t>Menopause</w:t>
      </w:r>
    </w:p>
    <w:p w14:paraId="4FDE945D" w14:textId="77777777" w:rsidR="00C008A3" w:rsidRPr="009F5467" w:rsidRDefault="00C008A3" w:rsidP="00C008A3">
      <w:pPr>
        <w:spacing w:after="140" w:line="300" w:lineRule="auto"/>
        <w:rPr>
          <w:rFonts w:asciiTheme="minorHAnsi" w:hAnsiTheme="minorHAnsi" w:cstheme="minorHAnsi"/>
        </w:rPr>
      </w:pPr>
      <w:r w:rsidRPr="009F5467">
        <w:rPr>
          <w:rFonts w:asciiTheme="minorHAnsi" w:eastAsia="Arial" w:hAnsiTheme="minorHAnsi" w:cstheme="minorHAnsi"/>
        </w:rPr>
        <w:lastRenderedPageBreak/>
        <w:t xml:space="preserve">Menopause is not specifically mentioned in the Terms of Reference but falls within related matters. An Irish qualitative study of five women found significant occupational disruption during the menopause transition, affecting valued roles as mothers and partners and women’s sense of efficacy, competence and identity, and concluded that occupational therapists should be </w:t>
      </w:r>
      <w:proofErr w:type="spellStart"/>
      <w:r w:rsidRPr="009F5467">
        <w:rPr>
          <w:rFonts w:asciiTheme="minorHAnsi" w:eastAsia="Arial" w:hAnsiTheme="minorHAnsi" w:cstheme="minorHAnsi"/>
        </w:rPr>
        <w:t>recognised</w:t>
      </w:r>
      <w:proofErr w:type="spellEnd"/>
      <w:r w:rsidRPr="009F5467">
        <w:rPr>
          <w:rFonts w:asciiTheme="minorHAnsi" w:eastAsia="Arial" w:hAnsiTheme="minorHAnsi" w:cstheme="minorHAnsi"/>
        </w:rPr>
        <w:t xml:space="preserve"> as part of menopause care (Daly &amp; Hynes, 2025). A Swedish interview study of women’s experiences of the work environment during menopause concluded that occupational therapy interventions considering the individual, the activity and the workplace environment can contribute to sustainable changes (</w:t>
      </w:r>
      <w:r w:rsidRPr="009F5467">
        <w:rPr>
          <w:rFonts w:asciiTheme="minorHAnsi" w:eastAsia="Arial" w:hAnsiTheme="minorHAnsi" w:cstheme="minorHAnsi"/>
          <w:i/>
          <w:iCs/>
        </w:rPr>
        <w:t>Women’s experience of the impact of work environment during menopause</w:t>
      </w:r>
      <w:r w:rsidRPr="009F5467">
        <w:rPr>
          <w:rFonts w:asciiTheme="minorHAnsi" w:eastAsia="Arial" w:hAnsiTheme="minorHAnsi" w:cstheme="minorHAnsi"/>
        </w:rPr>
        <w:t>, 2025). Both studies are small, but they point to an area of unmet need, and consensus recommendations from the Menopause Society also recognise the effect of menopause on work (Menopause Society, 2024).</w:t>
      </w:r>
    </w:p>
    <w:p w14:paraId="0A04CDEF" w14:textId="324C6A9E" w:rsidR="00C0279B" w:rsidRPr="00C0279B" w:rsidRDefault="00C0279B" w:rsidP="00C0279B">
      <w:pPr>
        <w:pStyle w:val="Heading2"/>
      </w:pPr>
      <w:r>
        <w:t>7.</w:t>
      </w:r>
      <w:r w:rsidRPr="00C0279B">
        <w:t>Other related matters</w:t>
      </w:r>
    </w:p>
    <w:p w14:paraId="755D120D" w14:textId="77777777" w:rsidR="00C0279B" w:rsidRPr="00ED6835" w:rsidRDefault="00C0279B" w:rsidP="00C0279B">
      <w:pPr>
        <w:spacing w:before="100" w:beforeAutospacing="1" w:after="100" w:afterAutospacing="1"/>
        <w:rPr>
          <w:rFonts w:ascii="Calibri" w:eastAsia="Times New Roman" w:hAnsi="Calibri" w:cs="Calibri"/>
        </w:rPr>
      </w:pPr>
      <w:proofErr w:type="spellStart"/>
      <w:r w:rsidRPr="00ED6835">
        <w:rPr>
          <w:rFonts w:ascii="Calibri" w:eastAsia="Times New Roman" w:hAnsi="Calibri" w:cs="Calibri"/>
        </w:rPr>
        <w:t>Standardised</w:t>
      </w:r>
      <w:proofErr w:type="spellEnd"/>
      <w:r w:rsidRPr="00ED6835">
        <w:rPr>
          <w:rFonts w:ascii="Calibri" w:eastAsia="Times New Roman" w:hAnsi="Calibri" w:cs="Calibri"/>
        </w:rPr>
        <w:t xml:space="preserve"> assessments are</w:t>
      </w:r>
      <w:r>
        <w:rPr>
          <w:rFonts w:ascii="Calibri" w:eastAsia="Times New Roman" w:hAnsi="Calibri" w:cs="Calibri"/>
        </w:rPr>
        <w:t xml:space="preserve"> widely used in healthcare, but</w:t>
      </w:r>
      <w:r w:rsidRPr="00ED6835">
        <w:rPr>
          <w:rFonts w:ascii="Calibri" w:eastAsia="Times New Roman" w:hAnsi="Calibri" w:cs="Calibri"/>
        </w:rPr>
        <w:t xml:space="preserve"> many were developed using research samples and clinical descriptions drawn predominantly from males. Where a tool measures how a condition presents in men and boys, it may systematically under-identify the same condition in women and girls, even when their needs are equally significant.</w:t>
      </w:r>
    </w:p>
    <w:p w14:paraId="0E8A80D3" w14:textId="77777777" w:rsidR="00C0279B" w:rsidRPr="00ED6835" w:rsidRDefault="00C0279B" w:rsidP="00C0279B">
      <w:pPr>
        <w:spacing w:before="100" w:beforeAutospacing="1" w:after="100" w:afterAutospacing="1"/>
        <w:rPr>
          <w:rFonts w:ascii="Calibri" w:eastAsia="Times New Roman" w:hAnsi="Calibri" w:cs="Calibri"/>
        </w:rPr>
      </w:pPr>
      <w:r w:rsidRPr="00ED6835">
        <w:rPr>
          <w:rFonts w:ascii="Calibri" w:eastAsia="Times New Roman" w:hAnsi="Calibri" w:cs="Calibri"/>
        </w:rPr>
        <w:t>Research and clinical experience increasingly show that women and girls often present differently from the dominant diagnostic picture.</w:t>
      </w:r>
    </w:p>
    <w:p w14:paraId="727CDB1E" w14:textId="77777777" w:rsidR="00C0279B" w:rsidRPr="00ED6835" w:rsidRDefault="00C0279B" w:rsidP="00C0279B">
      <w:pPr>
        <w:widowControl/>
        <w:numPr>
          <w:ilvl w:val="0"/>
          <w:numId w:val="38"/>
        </w:numPr>
        <w:autoSpaceDE/>
        <w:autoSpaceDN/>
        <w:spacing w:before="100" w:beforeAutospacing="1" w:after="100" w:afterAutospacing="1"/>
        <w:rPr>
          <w:rFonts w:ascii="Calibri" w:eastAsia="Times New Roman" w:hAnsi="Calibri" w:cs="Calibri"/>
        </w:rPr>
      </w:pPr>
      <w:r w:rsidRPr="00ED6835">
        <w:rPr>
          <w:rFonts w:ascii="Calibri" w:eastAsia="Times New Roman" w:hAnsi="Calibri" w:cs="Calibri"/>
        </w:rPr>
        <w:t>In autism, girls and women may display more subtle social-communication differences, have intense interests that appear socially typical, and are more likely to camouflage or “mask” their difficulties, often at significant personal cost.</w:t>
      </w:r>
    </w:p>
    <w:p w14:paraId="3AEEFE24" w14:textId="77777777" w:rsidR="00C0279B" w:rsidRPr="00ED6835" w:rsidRDefault="00C0279B" w:rsidP="00C0279B">
      <w:pPr>
        <w:widowControl/>
        <w:numPr>
          <w:ilvl w:val="0"/>
          <w:numId w:val="38"/>
        </w:numPr>
        <w:autoSpaceDE/>
        <w:autoSpaceDN/>
        <w:spacing w:before="100" w:beforeAutospacing="1" w:after="100" w:afterAutospacing="1"/>
        <w:rPr>
          <w:rFonts w:ascii="Calibri" w:eastAsia="Times New Roman" w:hAnsi="Calibri" w:cs="Calibri"/>
        </w:rPr>
      </w:pPr>
      <w:r w:rsidRPr="00ED6835">
        <w:rPr>
          <w:rFonts w:ascii="Calibri" w:eastAsia="Times New Roman" w:hAnsi="Calibri" w:cs="Calibri"/>
        </w:rPr>
        <w:t xml:space="preserve">In ADHD, girls are more likely to </w:t>
      </w:r>
      <w:proofErr w:type="gramStart"/>
      <w:r w:rsidRPr="00ED6835">
        <w:rPr>
          <w:rFonts w:ascii="Calibri" w:eastAsia="Times New Roman" w:hAnsi="Calibri" w:cs="Calibri"/>
        </w:rPr>
        <w:t>present</w:t>
      </w:r>
      <w:proofErr w:type="gramEnd"/>
      <w:r w:rsidRPr="00ED6835">
        <w:rPr>
          <w:rFonts w:ascii="Calibri" w:eastAsia="Times New Roman" w:hAnsi="Calibri" w:cs="Calibri"/>
        </w:rPr>
        <w:t xml:space="preserve"> with inattentive rather than hyperactive or disruptive symptoms, which are less visible and less likely to prompt referral.</w:t>
      </w:r>
    </w:p>
    <w:p w14:paraId="7D9888CF" w14:textId="77777777" w:rsidR="00C0279B" w:rsidRDefault="00C0279B" w:rsidP="00C0279B">
      <w:pPr>
        <w:widowControl/>
        <w:numPr>
          <w:ilvl w:val="0"/>
          <w:numId w:val="38"/>
        </w:numPr>
        <w:autoSpaceDE/>
        <w:autoSpaceDN/>
        <w:spacing w:before="100" w:beforeAutospacing="1" w:after="100" w:afterAutospacing="1"/>
        <w:rPr>
          <w:rFonts w:ascii="Calibri" w:eastAsia="Times New Roman" w:hAnsi="Calibri" w:cs="Calibri"/>
        </w:rPr>
      </w:pPr>
      <w:r w:rsidRPr="00ED6835">
        <w:rPr>
          <w:rFonts w:ascii="Calibri" w:eastAsia="Times New Roman" w:hAnsi="Calibri" w:cs="Calibri"/>
        </w:rPr>
        <w:t xml:space="preserve">Missed or delayed diagnosis is well documented among women and girls, often not occurring until adolescence or adulthood. Because access to many funding schemes and services depends on meeting assessment thresholds, a tool that fails to detect female presentations can lock women out of support entirely. This compounds existing disadvantage, contributing to poorer mental health, reduced educational and employment outcomes, and higher risk of crisis. In the area of psychosocial disability, women’s distress is more likely to be </w:t>
      </w:r>
      <w:proofErr w:type="spellStart"/>
      <w:r w:rsidRPr="00ED6835">
        <w:rPr>
          <w:rFonts w:ascii="Calibri" w:eastAsia="Times New Roman" w:hAnsi="Calibri" w:cs="Calibri"/>
        </w:rPr>
        <w:t>internalised</w:t>
      </w:r>
      <w:proofErr w:type="spellEnd"/>
      <w:r w:rsidRPr="00ED6835">
        <w:rPr>
          <w:rFonts w:ascii="Calibri" w:eastAsia="Times New Roman" w:hAnsi="Calibri" w:cs="Calibri"/>
        </w:rPr>
        <w:t xml:space="preserve"> and may be present as self-injury or experiencing violence and coercion, whereas men's distress may </w:t>
      </w:r>
      <w:proofErr w:type="gramStart"/>
      <w:r w:rsidRPr="00ED6835">
        <w:rPr>
          <w:rFonts w:ascii="Calibri" w:eastAsia="Times New Roman" w:hAnsi="Calibri" w:cs="Calibri"/>
        </w:rPr>
        <w:t>present</w:t>
      </w:r>
      <w:proofErr w:type="gramEnd"/>
      <w:r w:rsidRPr="00ED6835">
        <w:rPr>
          <w:rFonts w:ascii="Calibri" w:eastAsia="Times New Roman" w:hAnsi="Calibri" w:cs="Calibri"/>
        </w:rPr>
        <w:t xml:space="preserve"> as aggression. There are multiple </w:t>
      </w:r>
      <w:proofErr w:type="spellStart"/>
      <w:r w:rsidRPr="00ED6835">
        <w:rPr>
          <w:rFonts w:ascii="Calibri" w:eastAsia="Times New Roman" w:hAnsi="Calibri" w:cs="Calibri"/>
        </w:rPr>
        <w:t>standardised</w:t>
      </w:r>
      <w:proofErr w:type="spellEnd"/>
      <w:r w:rsidRPr="00ED6835">
        <w:rPr>
          <w:rFonts w:ascii="Calibri" w:eastAsia="Times New Roman" w:hAnsi="Calibri" w:cs="Calibri"/>
        </w:rPr>
        <w:t xml:space="preserve"> assessments that record a higher score for men's presentation of distress, and a lower score for women’s presentation of distress. This can impact access to </w:t>
      </w:r>
      <w:proofErr w:type="gramStart"/>
      <w:r w:rsidRPr="00ED6835">
        <w:rPr>
          <w:rFonts w:ascii="Calibri" w:eastAsia="Times New Roman" w:hAnsi="Calibri" w:cs="Calibri"/>
        </w:rPr>
        <w:t>supports</w:t>
      </w:r>
      <w:proofErr w:type="gramEnd"/>
      <w:r w:rsidRPr="00ED6835">
        <w:rPr>
          <w:rFonts w:ascii="Calibri" w:eastAsia="Times New Roman" w:hAnsi="Calibri" w:cs="Calibri"/>
        </w:rPr>
        <w:t xml:space="preserve"> and services</w:t>
      </w:r>
    </w:p>
    <w:p w14:paraId="3558EADA" w14:textId="77777777" w:rsidR="00C0279B" w:rsidRPr="00ED6835" w:rsidRDefault="00C0279B" w:rsidP="00C0279B">
      <w:pPr>
        <w:spacing w:before="100" w:beforeAutospacing="1" w:after="100" w:afterAutospacing="1"/>
        <w:rPr>
          <w:rFonts w:ascii="Calibri" w:eastAsia="Times New Roman" w:hAnsi="Calibri" w:cs="Calibri"/>
        </w:rPr>
      </w:pPr>
      <w:r w:rsidRPr="00ED6835">
        <w:rPr>
          <w:rFonts w:ascii="Calibri" w:eastAsia="Times New Roman" w:hAnsi="Calibri" w:cs="Calibri"/>
        </w:rPr>
        <w:t xml:space="preserve">When eligibility is tied to a </w:t>
      </w:r>
      <w:proofErr w:type="spellStart"/>
      <w:r w:rsidRPr="00ED6835">
        <w:rPr>
          <w:rFonts w:ascii="Calibri" w:eastAsia="Times New Roman" w:hAnsi="Calibri" w:cs="Calibri"/>
        </w:rPr>
        <w:t>standardised</w:t>
      </w:r>
      <w:proofErr w:type="spellEnd"/>
      <w:r w:rsidRPr="00ED6835">
        <w:rPr>
          <w:rFonts w:ascii="Calibri" w:eastAsia="Times New Roman" w:hAnsi="Calibri" w:cs="Calibri"/>
        </w:rPr>
        <w:t xml:space="preserve"> score, any bias in the tool is carried into every decision made using it. This is a structural problem, not an individual one, and it cannot be fixed by clinicians alone if the instrument itself is the limiting factor. Reviewing the tools addresses the issue at its source.</w:t>
      </w:r>
    </w:p>
    <w:p w14:paraId="2F36767A" w14:textId="77777777" w:rsidR="00C0279B" w:rsidRPr="00ED6835" w:rsidRDefault="00C0279B" w:rsidP="00C0279B">
      <w:pPr>
        <w:spacing w:before="100" w:beforeAutospacing="1" w:after="100" w:afterAutospacing="1"/>
        <w:rPr>
          <w:rFonts w:ascii="Calibri" w:eastAsia="Times New Roman" w:hAnsi="Calibri" w:cs="Calibri"/>
        </w:rPr>
      </w:pPr>
      <w:r w:rsidRPr="00ED6835">
        <w:rPr>
          <w:rFonts w:ascii="Calibri" w:hAnsi="Calibri" w:cs="Calibri"/>
        </w:rPr>
        <w:lastRenderedPageBreak/>
        <w:t xml:space="preserve"> Gender bias in </w:t>
      </w:r>
      <w:proofErr w:type="spellStart"/>
      <w:r w:rsidRPr="00ED6835">
        <w:rPr>
          <w:rFonts w:ascii="Calibri" w:hAnsi="Calibri" w:cs="Calibri"/>
        </w:rPr>
        <w:t>standardised</w:t>
      </w:r>
      <w:proofErr w:type="spellEnd"/>
      <w:r w:rsidRPr="00ED6835">
        <w:rPr>
          <w:rFonts w:ascii="Calibri" w:hAnsi="Calibri" w:cs="Calibri"/>
        </w:rPr>
        <w:t xml:space="preserve"> assessments does not operate alone. For First Nations women and CALD women, it intersects with cultural and linguistic bias, and the effects compound. Many widely used tools were developed and normed on predominantly white, English-speaking, Western populations, and may not be valid or reliable when applied to people from other cultural backgrounds. For First Nations women, concepts of health and wellbeing are often holistic, grounded in connection to family, community, culture and Country, and are not well captured by tools built around Western clinical constructs. The effects of intergenerational trauma, racism and past experiences with services can also shape how distress is expressed and how willing women are to engage with assessors. For CALD women, language barriers, limited access to qualified interpreters, differing cultural understandings of mental illness and neurodivergence, stigma, and experiences of migration or refugee-related trauma can all affect how symptoms are described, interpreted and scored. Distress may be expressed in somatic or culturally specific ways that standard criteria overlook. The result is a heightened risk of misdiagnosis, delayed diagnosis or no diagnosis at all, and therefore exclusion from the supports that depend on an assessment outcome. Addressing gender bias without also addressing cultural bias would leave the women who already face the greatest barriers to care behind.</w:t>
      </w:r>
    </w:p>
    <w:p w14:paraId="576BF285" w14:textId="77777777" w:rsidR="00C0279B" w:rsidRPr="00ED6835" w:rsidRDefault="00C0279B" w:rsidP="00C0279B">
      <w:pPr>
        <w:spacing w:before="100" w:beforeAutospacing="1" w:after="100" w:afterAutospacing="1"/>
        <w:rPr>
          <w:rFonts w:ascii="Calibri" w:eastAsia="Times New Roman" w:hAnsi="Calibri" w:cs="Calibri"/>
        </w:rPr>
      </w:pPr>
      <w:r w:rsidRPr="00ED6835">
        <w:rPr>
          <w:rFonts w:ascii="Calibri" w:eastAsia="Times New Roman" w:hAnsi="Calibri" w:cs="Calibri"/>
        </w:rPr>
        <w:t>Reviewing the assessments that gate access to supports is a practical, targeted reform that would improve diagnostic accuracy, reduce delays, and ensure that women and girls receive support based on need rather than on how closely they match a male-derived profile.</w:t>
      </w:r>
    </w:p>
    <w:p w14:paraId="6343CE1A" w14:textId="77777777" w:rsidR="00C0279B" w:rsidRPr="00ED6835" w:rsidRDefault="00C0279B" w:rsidP="00C0279B">
      <w:pPr>
        <w:spacing w:after="140" w:line="300" w:lineRule="auto"/>
      </w:pPr>
    </w:p>
    <w:p w14:paraId="2E73E177" w14:textId="3B46A9F7" w:rsidR="00C008A3" w:rsidRPr="009F5467" w:rsidRDefault="00C008A3" w:rsidP="00C008A3">
      <w:pPr>
        <w:spacing w:before="200" w:after="140" w:line="300" w:lineRule="auto"/>
        <w:rPr>
          <w:rFonts w:asciiTheme="minorHAnsi" w:hAnsiTheme="minorHAnsi" w:cstheme="minorHAnsi"/>
        </w:rPr>
      </w:pPr>
    </w:p>
    <w:p w14:paraId="2E9D4B54" w14:textId="77777777" w:rsidR="00C008A3" w:rsidRPr="009F5467" w:rsidRDefault="00C008A3" w:rsidP="003D42B9">
      <w:pPr>
        <w:pStyle w:val="Heading2"/>
      </w:pPr>
      <w:r w:rsidRPr="009F5467">
        <w:rPr>
          <w:rFonts w:eastAsia="Arial"/>
        </w:rPr>
        <w:t>References</w:t>
      </w:r>
    </w:p>
    <w:p w14:paraId="635F98B9" w14:textId="77777777" w:rsidR="00C008A3" w:rsidRPr="009F5467" w:rsidRDefault="00C008A3" w:rsidP="00C008A3">
      <w:pPr>
        <w:spacing w:after="100" w:line="276" w:lineRule="auto"/>
        <w:ind w:left="540" w:hanging="540"/>
        <w:rPr>
          <w:rFonts w:asciiTheme="minorHAnsi" w:hAnsiTheme="minorHAnsi" w:cstheme="minorHAnsi"/>
        </w:rPr>
      </w:pPr>
      <w:proofErr w:type="spellStart"/>
      <w:r w:rsidRPr="009F5467">
        <w:rPr>
          <w:rFonts w:asciiTheme="minorHAnsi" w:eastAsia="Arial" w:hAnsiTheme="minorHAnsi" w:cstheme="minorHAnsi"/>
        </w:rPr>
        <w:t>Akyurek</w:t>
      </w:r>
      <w:proofErr w:type="spellEnd"/>
      <w:r w:rsidRPr="009F5467">
        <w:rPr>
          <w:rFonts w:asciiTheme="minorHAnsi" w:eastAsia="Arial" w:hAnsiTheme="minorHAnsi" w:cstheme="minorHAnsi"/>
        </w:rPr>
        <w:t xml:space="preserve">, G., &amp; Karakus, A. (2026). Occupational therapy-based advocacy and occupational justice for women: A systematic review. </w:t>
      </w:r>
      <w:r w:rsidRPr="009F5467">
        <w:rPr>
          <w:rFonts w:asciiTheme="minorHAnsi" w:eastAsia="Arial" w:hAnsiTheme="minorHAnsi" w:cstheme="minorHAnsi"/>
          <w:i/>
          <w:iCs/>
        </w:rPr>
        <w:t>British Journal of Occupational Therapy</w:t>
      </w:r>
      <w:r w:rsidRPr="009F5467">
        <w:rPr>
          <w:rFonts w:asciiTheme="minorHAnsi" w:eastAsia="Arial" w:hAnsiTheme="minorHAnsi" w:cstheme="minorHAnsi"/>
        </w:rPr>
        <w:t>. https://doi.org/10.1177/03080226261454914</w:t>
      </w:r>
    </w:p>
    <w:p w14:paraId="6572EEC9" w14:textId="77777777" w:rsidR="00C008A3" w:rsidRPr="009F5467" w:rsidRDefault="00C008A3" w:rsidP="00C008A3">
      <w:pPr>
        <w:spacing w:after="100" w:line="276" w:lineRule="auto"/>
        <w:ind w:left="540" w:hanging="540"/>
        <w:rPr>
          <w:rFonts w:asciiTheme="minorHAnsi" w:hAnsiTheme="minorHAnsi" w:cstheme="minorHAnsi"/>
        </w:rPr>
      </w:pPr>
      <w:r w:rsidRPr="009F5467">
        <w:rPr>
          <w:rFonts w:asciiTheme="minorHAnsi" w:eastAsia="Arial" w:hAnsiTheme="minorHAnsi" w:cstheme="minorHAnsi"/>
        </w:rPr>
        <w:t xml:space="preserve">Daly, R., &amp; Hynes, S. M. (2025). An exploration of women’s occupational participation and identity during menopause: Descriptive qualitative study. </w:t>
      </w:r>
      <w:r w:rsidRPr="009F5467">
        <w:rPr>
          <w:rFonts w:asciiTheme="minorHAnsi" w:eastAsia="Arial" w:hAnsiTheme="minorHAnsi" w:cstheme="minorHAnsi"/>
          <w:i/>
          <w:iCs/>
        </w:rPr>
        <w:t>British Journal of Occupational Therapy</w:t>
      </w:r>
      <w:r w:rsidRPr="009F5467">
        <w:rPr>
          <w:rFonts w:asciiTheme="minorHAnsi" w:eastAsia="Arial" w:hAnsiTheme="minorHAnsi" w:cstheme="minorHAnsi"/>
        </w:rPr>
        <w:t>. https://doi.org/10.1177/03080226241310032</w:t>
      </w:r>
    </w:p>
    <w:p w14:paraId="053F7F59" w14:textId="77777777" w:rsidR="00C008A3" w:rsidRPr="009F5467" w:rsidRDefault="00C008A3" w:rsidP="00C008A3">
      <w:pPr>
        <w:spacing w:after="100" w:line="276" w:lineRule="auto"/>
        <w:ind w:left="540" w:hanging="540"/>
        <w:rPr>
          <w:rFonts w:asciiTheme="minorHAnsi" w:hAnsiTheme="minorHAnsi" w:cstheme="minorHAnsi"/>
        </w:rPr>
      </w:pPr>
      <w:proofErr w:type="spellStart"/>
      <w:r w:rsidRPr="009F5467">
        <w:rPr>
          <w:rFonts w:asciiTheme="minorHAnsi" w:eastAsia="Arial" w:hAnsiTheme="minorHAnsi" w:cstheme="minorHAnsi"/>
        </w:rPr>
        <w:t>Fyhrie</w:t>
      </w:r>
      <w:proofErr w:type="spellEnd"/>
      <w:r w:rsidRPr="009F5467">
        <w:rPr>
          <w:rFonts w:asciiTheme="minorHAnsi" w:eastAsia="Arial" w:hAnsiTheme="minorHAnsi" w:cstheme="minorHAnsi"/>
        </w:rPr>
        <w:t xml:space="preserve">, J. H., Le Fevre, E., Fruhauf, C. A., Weaver, J. A., &amp; Schmid, A. A. (2026). Identifying occupational therapists’ perspectives on their unique role in pelvic health care. </w:t>
      </w:r>
      <w:r w:rsidRPr="009F5467">
        <w:rPr>
          <w:rFonts w:asciiTheme="minorHAnsi" w:eastAsia="Arial" w:hAnsiTheme="minorHAnsi" w:cstheme="minorHAnsi"/>
          <w:i/>
          <w:iCs/>
        </w:rPr>
        <w:t>OTJR: Occupational Therapy Journal of Research, 46</w:t>
      </w:r>
      <w:r w:rsidRPr="009F5467">
        <w:rPr>
          <w:rFonts w:asciiTheme="minorHAnsi" w:eastAsia="Arial" w:hAnsiTheme="minorHAnsi" w:cstheme="minorHAnsi"/>
        </w:rPr>
        <w:t>(3), 501–509. https://doi.org/10.1177/15394492251359197</w:t>
      </w:r>
    </w:p>
    <w:p w14:paraId="70052324" w14:textId="77777777" w:rsidR="00C008A3" w:rsidRPr="009F5467" w:rsidRDefault="00C008A3" w:rsidP="00C008A3">
      <w:pPr>
        <w:spacing w:after="100" w:line="276" w:lineRule="auto"/>
        <w:ind w:left="540" w:hanging="540"/>
        <w:rPr>
          <w:rFonts w:asciiTheme="minorHAnsi" w:hAnsiTheme="minorHAnsi" w:cstheme="minorHAnsi"/>
        </w:rPr>
      </w:pPr>
      <w:r w:rsidRPr="009F5467">
        <w:rPr>
          <w:rFonts w:asciiTheme="minorHAnsi" w:eastAsia="Arial" w:hAnsiTheme="minorHAnsi" w:cstheme="minorHAnsi"/>
        </w:rPr>
        <w:t xml:space="preserve">Griffiths, G., et al. (2021). Occupational therapy interventions for persistent pain: A systematic review. </w:t>
      </w:r>
      <w:r w:rsidRPr="009F5467">
        <w:rPr>
          <w:rFonts w:asciiTheme="minorHAnsi" w:eastAsia="Arial" w:hAnsiTheme="minorHAnsi" w:cstheme="minorHAnsi"/>
          <w:i/>
          <w:iCs/>
        </w:rPr>
        <w:t>New Zealand Journal of Occupational Therapy, 68</w:t>
      </w:r>
      <w:r w:rsidRPr="009F5467">
        <w:rPr>
          <w:rFonts w:asciiTheme="minorHAnsi" w:eastAsia="Arial" w:hAnsiTheme="minorHAnsi" w:cstheme="minorHAnsi"/>
        </w:rPr>
        <w:t>(1), 15–22.</w:t>
      </w:r>
    </w:p>
    <w:p w14:paraId="1022038F" w14:textId="77777777" w:rsidR="00C008A3" w:rsidRPr="009F5467" w:rsidRDefault="00C008A3" w:rsidP="00C008A3">
      <w:pPr>
        <w:spacing w:after="100" w:line="276" w:lineRule="auto"/>
        <w:ind w:left="540" w:hanging="540"/>
        <w:rPr>
          <w:rFonts w:asciiTheme="minorHAnsi" w:hAnsiTheme="minorHAnsi" w:cstheme="minorHAnsi"/>
        </w:rPr>
      </w:pPr>
      <w:proofErr w:type="spellStart"/>
      <w:r w:rsidRPr="009F5467">
        <w:rPr>
          <w:rFonts w:asciiTheme="minorHAnsi" w:eastAsia="Arial" w:hAnsiTheme="minorHAnsi" w:cstheme="minorHAnsi"/>
        </w:rPr>
        <w:t>Gurol-Urganci</w:t>
      </w:r>
      <w:proofErr w:type="spellEnd"/>
      <w:r w:rsidRPr="009F5467">
        <w:rPr>
          <w:rFonts w:asciiTheme="minorHAnsi" w:eastAsia="Arial" w:hAnsiTheme="minorHAnsi" w:cstheme="minorHAnsi"/>
        </w:rPr>
        <w:t xml:space="preserve">, I., Langham, J., </w:t>
      </w:r>
      <w:proofErr w:type="spellStart"/>
      <w:r w:rsidRPr="009F5467">
        <w:rPr>
          <w:rFonts w:asciiTheme="minorHAnsi" w:eastAsia="Arial" w:hAnsiTheme="minorHAnsi" w:cstheme="minorHAnsi"/>
        </w:rPr>
        <w:t>Tassie</w:t>
      </w:r>
      <w:proofErr w:type="spellEnd"/>
      <w:r w:rsidRPr="009F5467">
        <w:rPr>
          <w:rFonts w:asciiTheme="minorHAnsi" w:eastAsia="Arial" w:hAnsiTheme="minorHAnsi" w:cstheme="minorHAnsi"/>
        </w:rPr>
        <w:t>, E., et al. (2024). Community perinatal mental health teams and associations with perinatal mental health and obstetric and neonatal outcomes in pregnant women with a history of secondary mental health care in England: A national population-</w:t>
      </w:r>
      <w:r w:rsidRPr="009F5467">
        <w:rPr>
          <w:rFonts w:asciiTheme="minorHAnsi" w:eastAsia="Arial" w:hAnsiTheme="minorHAnsi" w:cstheme="minorHAnsi"/>
        </w:rPr>
        <w:lastRenderedPageBreak/>
        <w:t xml:space="preserve">based cohort study. </w:t>
      </w:r>
      <w:r w:rsidRPr="009F5467">
        <w:rPr>
          <w:rFonts w:asciiTheme="minorHAnsi" w:eastAsia="Arial" w:hAnsiTheme="minorHAnsi" w:cstheme="minorHAnsi"/>
          <w:i/>
          <w:iCs/>
        </w:rPr>
        <w:t>The Lancet Psychiatry, 11</w:t>
      </w:r>
      <w:r w:rsidRPr="009F5467">
        <w:rPr>
          <w:rFonts w:asciiTheme="minorHAnsi" w:eastAsia="Arial" w:hAnsiTheme="minorHAnsi" w:cstheme="minorHAnsi"/>
        </w:rPr>
        <w:t>(3), 174–182. https://www.thelancet.com/journals/lanpsy/article/PIIS2215-0366(23)00409-1/fulltext</w:t>
      </w:r>
    </w:p>
    <w:p w14:paraId="03EF3296" w14:textId="77777777" w:rsidR="00C008A3" w:rsidRPr="009F5467" w:rsidRDefault="00C008A3" w:rsidP="00C008A3">
      <w:pPr>
        <w:spacing w:after="100" w:line="276" w:lineRule="auto"/>
        <w:ind w:left="540" w:hanging="540"/>
        <w:rPr>
          <w:rFonts w:asciiTheme="minorHAnsi" w:hAnsiTheme="minorHAnsi" w:cstheme="minorHAnsi"/>
        </w:rPr>
      </w:pPr>
      <w:r w:rsidRPr="009F5467">
        <w:rPr>
          <w:rFonts w:asciiTheme="minorHAnsi" w:eastAsia="Arial" w:hAnsiTheme="minorHAnsi" w:cstheme="minorHAnsi"/>
        </w:rPr>
        <w:t xml:space="preserve">Halsall, K., Ward, K., &amp; Jarvis, K. (2025). Understanding occupational therapy perinatal mental health practice in mothers from ethnic minorities: A qualitative study of </w:t>
      </w:r>
      <w:proofErr w:type="gramStart"/>
      <w:r w:rsidRPr="009F5467">
        <w:rPr>
          <w:rFonts w:asciiTheme="minorHAnsi" w:eastAsia="Arial" w:hAnsiTheme="minorHAnsi" w:cstheme="minorHAnsi"/>
        </w:rPr>
        <w:t>practitioner</w:t>
      </w:r>
      <w:proofErr w:type="gramEnd"/>
      <w:r w:rsidRPr="009F5467">
        <w:rPr>
          <w:rFonts w:asciiTheme="minorHAnsi" w:eastAsia="Arial" w:hAnsiTheme="minorHAnsi" w:cstheme="minorHAnsi"/>
        </w:rPr>
        <w:t xml:space="preserve"> perceived barriers and enablers. </w:t>
      </w:r>
      <w:r w:rsidRPr="009F5467">
        <w:rPr>
          <w:rFonts w:asciiTheme="minorHAnsi" w:eastAsia="Arial" w:hAnsiTheme="minorHAnsi" w:cstheme="minorHAnsi"/>
          <w:i/>
          <w:iCs/>
        </w:rPr>
        <w:t>British Journal of Occupational Therapy</w:t>
      </w:r>
      <w:r w:rsidRPr="009F5467">
        <w:rPr>
          <w:rFonts w:asciiTheme="minorHAnsi" w:eastAsia="Arial" w:hAnsiTheme="minorHAnsi" w:cstheme="minorHAnsi"/>
        </w:rPr>
        <w:t>. https://doi.org/10.1177/03080226241295602</w:t>
      </w:r>
    </w:p>
    <w:p w14:paraId="0A74495C" w14:textId="77777777" w:rsidR="00C008A3" w:rsidRPr="009F5467" w:rsidRDefault="00C008A3" w:rsidP="00C008A3">
      <w:pPr>
        <w:spacing w:after="100" w:line="276" w:lineRule="auto"/>
        <w:ind w:left="540" w:hanging="540"/>
        <w:rPr>
          <w:rFonts w:asciiTheme="minorHAnsi" w:hAnsiTheme="minorHAnsi" w:cstheme="minorHAnsi"/>
        </w:rPr>
      </w:pPr>
      <w:r w:rsidRPr="009F5467">
        <w:rPr>
          <w:rFonts w:asciiTheme="minorHAnsi" w:eastAsia="Arial" w:hAnsiTheme="minorHAnsi" w:cstheme="minorHAnsi"/>
        </w:rPr>
        <w:t xml:space="preserve">Hayden, C. (2017). Daily </w:t>
      </w:r>
      <w:proofErr w:type="gramStart"/>
      <w:r w:rsidRPr="009F5467">
        <w:rPr>
          <w:rFonts w:asciiTheme="minorHAnsi" w:eastAsia="Arial" w:hAnsiTheme="minorHAnsi" w:cstheme="minorHAnsi"/>
        </w:rPr>
        <w:t>decision making</w:t>
      </w:r>
      <w:proofErr w:type="gramEnd"/>
      <w:r w:rsidRPr="009F5467">
        <w:rPr>
          <w:rFonts w:asciiTheme="minorHAnsi" w:eastAsia="Arial" w:hAnsiTheme="minorHAnsi" w:cstheme="minorHAnsi"/>
        </w:rPr>
        <w:t xml:space="preserve"> regarding occupations and its effect on women with chronic pelvic pain. </w:t>
      </w:r>
      <w:r w:rsidRPr="009F5467">
        <w:rPr>
          <w:rFonts w:asciiTheme="minorHAnsi" w:eastAsia="Arial" w:hAnsiTheme="minorHAnsi" w:cstheme="minorHAnsi"/>
          <w:i/>
          <w:iCs/>
        </w:rPr>
        <w:t>American Journal of Occupational Therapy</w:t>
      </w:r>
      <w:r w:rsidRPr="009F5467">
        <w:rPr>
          <w:rFonts w:asciiTheme="minorHAnsi" w:eastAsia="Arial" w:hAnsiTheme="minorHAnsi" w:cstheme="minorHAnsi"/>
        </w:rPr>
        <w:t>.</w:t>
      </w:r>
    </w:p>
    <w:p w14:paraId="2A2F0FFC" w14:textId="77777777" w:rsidR="00C008A3" w:rsidRPr="009F5467" w:rsidRDefault="00C008A3" w:rsidP="00C008A3">
      <w:pPr>
        <w:spacing w:after="100" w:line="276" w:lineRule="auto"/>
        <w:ind w:left="540" w:hanging="540"/>
        <w:rPr>
          <w:rFonts w:asciiTheme="minorHAnsi" w:hAnsiTheme="minorHAnsi" w:cstheme="minorHAnsi"/>
        </w:rPr>
      </w:pPr>
      <w:r w:rsidRPr="009F5467">
        <w:rPr>
          <w:rFonts w:asciiTheme="minorHAnsi" w:eastAsia="Arial" w:hAnsiTheme="minorHAnsi" w:cstheme="minorHAnsi"/>
        </w:rPr>
        <w:t xml:space="preserve">Hayden, C. (2018). When chronic pelvic pain symptoms increase: Occupational therapy can help clients reengage in daily occupations. </w:t>
      </w:r>
      <w:r w:rsidRPr="009F5467">
        <w:rPr>
          <w:rFonts w:asciiTheme="minorHAnsi" w:eastAsia="Arial" w:hAnsiTheme="minorHAnsi" w:cstheme="minorHAnsi"/>
          <w:i/>
          <w:iCs/>
        </w:rPr>
        <w:t>American Journal of Occupational Therapy</w:t>
      </w:r>
      <w:r w:rsidRPr="009F5467">
        <w:rPr>
          <w:rFonts w:asciiTheme="minorHAnsi" w:eastAsia="Arial" w:hAnsiTheme="minorHAnsi" w:cstheme="minorHAnsi"/>
        </w:rPr>
        <w:t>.</w:t>
      </w:r>
    </w:p>
    <w:p w14:paraId="6A850DE9" w14:textId="77777777" w:rsidR="00C008A3" w:rsidRPr="009F5467" w:rsidRDefault="00C008A3" w:rsidP="00C008A3">
      <w:pPr>
        <w:spacing w:after="100" w:line="276" w:lineRule="auto"/>
        <w:ind w:left="540" w:hanging="540"/>
        <w:rPr>
          <w:rFonts w:asciiTheme="minorHAnsi" w:hAnsiTheme="minorHAnsi" w:cstheme="minorHAnsi"/>
        </w:rPr>
      </w:pPr>
      <w:proofErr w:type="spellStart"/>
      <w:r w:rsidRPr="009F5467">
        <w:rPr>
          <w:rFonts w:asciiTheme="minorHAnsi" w:eastAsia="Arial" w:hAnsiTheme="minorHAnsi" w:cstheme="minorHAnsi"/>
        </w:rPr>
        <w:t>Hesselstrand</w:t>
      </w:r>
      <w:proofErr w:type="spellEnd"/>
      <w:r w:rsidRPr="009F5467">
        <w:rPr>
          <w:rFonts w:asciiTheme="minorHAnsi" w:eastAsia="Arial" w:hAnsiTheme="minorHAnsi" w:cstheme="minorHAnsi"/>
        </w:rPr>
        <w:t xml:space="preserve">, M., Samuelsson, K., &amp; Liedberg, G. (2015). Occupational therapy interventions in chronic pain: A systematic review. </w:t>
      </w:r>
      <w:r w:rsidRPr="009F5467">
        <w:rPr>
          <w:rFonts w:asciiTheme="minorHAnsi" w:eastAsia="Arial" w:hAnsiTheme="minorHAnsi" w:cstheme="minorHAnsi"/>
          <w:i/>
          <w:iCs/>
        </w:rPr>
        <w:t>Occupational Therapy International, 22</w:t>
      </w:r>
      <w:r w:rsidRPr="009F5467">
        <w:rPr>
          <w:rFonts w:asciiTheme="minorHAnsi" w:eastAsia="Arial" w:hAnsiTheme="minorHAnsi" w:cstheme="minorHAnsi"/>
        </w:rPr>
        <w:t>(4), 183–194. https://doi.org/10.1002/oti.1396</w:t>
      </w:r>
    </w:p>
    <w:p w14:paraId="0D739BE8" w14:textId="77777777" w:rsidR="00C008A3" w:rsidRPr="009F5467" w:rsidRDefault="00C008A3" w:rsidP="00C008A3">
      <w:pPr>
        <w:spacing w:after="100" w:line="276" w:lineRule="auto"/>
        <w:ind w:left="540" w:hanging="540"/>
        <w:rPr>
          <w:rFonts w:asciiTheme="minorHAnsi" w:hAnsiTheme="minorHAnsi" w:cstheme="minorHAnsi"/>
        </w:rPr>
      </w:pPr>
      <w:r w:rsidRPr="009F5467">
        <w:rPr>
          <w:rFonts w:asciiTheme="minorHAnsi" w:eastAsia="Arial" w:hAnsiTheme="minorHAnsi" w:cstheme="minorHAnsi"/>
        </w:rPr>
        <w:t>Individually tailored physiotherapy interventions for pregnancy-related pelvic girdle pain: Functioning, physical activity, and treatment satisfaction four months postpartum. A cross-sectional study. https://pmc.ncbi.nlm.nih.gov/articles/PMC13340105/</w:t>
      </w:r>
    </w:p>
    <w:p w14:paraId="2730DB37" w14:textId="77777777" w:rsidR="00C008A3" w:rsidRPr="009F5467" w:rsidRDefault="00C008A3" w:rsidP="00C008A3">
      <w:pPr>
        <w:spacing w:after="100" w:line="276" w:lineRule="auto"/>
        <w:ind w:left="540" w:hanging="540"/>
        <w:rPr>
          <w:rFonts w:asciiTheme="minorHAnsi" w:hAnsiTheme="minorHAnsi" w:cstheme="minorHAnsi"/>
        </w:rPr>
      </w:pPr>
      <w:r w:rsidRPr="009F5467">
        <w:rPr>
          <w:rFonts w:asciiTheme="minorHAnsi" w:eastAsia="Arial" w:hAnsiTheme="minorHAnsi" w:cstheme="minorHAnsi"/>
        </w:rPr>
        <w:t xml:space="preserve">Joaquim, R. H. V. T., Dittz, E. da S., &amp; Magalhães, L. C. (2026). Motherhood as an occupation in the perinatal period: A scoping review of practices, theoretical frameworks, and concepts used in occupational therapy. </w:t>
      </w:r>
      <w:r w:rsidRPr="009F5467">
        <w:rPr>
          <w:rFonts w:asciiTheme="minorHAnsi" w:eastAsia="Arial" w:hAnsiTheme="minorHAnsi" w:cstheme="minorHAnsi"/>
          <w:i/>
          <w:iCs/>
        </w:rPr>
        <w:t>British Journal of Occupational Therapy</w:t>
      </w:r>
      <w:r w:rsidRPr="009F5467">
        <w:rPr>
          <w:rFonts w:asciiTheme="minorHAnsi" w:eastAsia="Arial" w:hAnsiTheme="minorHAnsi" w:cstheme="minorHAnsi"/>
        </w:rPr>
        <w:t>. https://doi.org/10.1177/03080226261419617</w:t>
      </w:r>
    </w:p>
    <w:p w14:paraId="18568ED8" w14:textId="77777777" w:rsidR="00C008A3" w:rsidRPr="009F5467" w:rsidRDefault="00C008A3" w:rsidP="00C008A3">
      <w:pPr>
        <w:spacing w:after="100" w:line="276" w:lineRule="auto"/>
        <w:ind w:left="540" w:hanging="540"/>
        <w:rPr>
          <w:rFonts w:asciiTheme="minorHAnsi" w:hAnsiTheme="minorHAnsi" w:cstheme="minorHAnsi"/>
        </w:rPr>
      </w:pPr>
      <w:r w:rsidRPr="009F5467">
        <w:rPr>
          <w:rFonts w:asciiTheme="minorHAnsi" w:eastAsia="Arial" w:hAnsiTheme="minorHAnsi" w:cstheme="minorHAnsi"/>
        </w:rPr>
        <w:t xml:space="preserve">Lagueux, E., </w:t>
      </w:r>
      <w:proofErr w:type="spellStart"/>
      <w:r w:rsidRPr="009F5467">
        <w:rPr>
          <w:rFonts w:asciiTheme="minorHAnsi" w:eastAsia="Arial" w:hAnsiTheme="minorHAnsi" w:cstheme="minorHAnsi"/>
        </w:rPr>
        <w:t>Depelteau</w:t>
      </w:r>
      <w:proofErr w:type="spellEnd"/>
      <w:r w:rsidRPr="009F5467">
        <w:rPr>
          <w:rFonts w:asciiTheme="minorHAnsi" w:eastAsia="Arial" w:hAnsiTheme="minorHAnsi" w:cstheme="minorHAnsi"/>
        </w:rPr>
        <w:t xml:space="preserve">, A., &amp; Masse, J. (2018). Occupational therapy’s unique contribution to chronic pain management: A scoping review. </w:t>
      </w:r>
      <w:r w:rsidRPr="009F5467">
        <w:rPr>
          <w:rFonts w:asciiTheme="minorHAnsi" w:eastAsia="Arial" w:hAnsiTheme="minorHAnsi" w:cstheme="minorHAnsi"/>
          <w:i/>
          <w:iCs/>
        </w:rPr>
        <w:t>Pain Research and Management, 2018</w:t>
      </w:r>
      <w:r w:rsidRPr="009F5467">
        <w:rPr>
          <w:rFonts w:asciiTheme="minorHAnsi" w:eastAsia="Arial" w:hAnsiTheme="minorHAnsi" w:cstheme="minorHAnsi"/>
        </w:rPr>
        <w:t>, Article 5378451. https://doi.org/10.1155/2018/5378451</w:t>
      </w:r>
    </w:p>
    <w:p w14:paraId="4BB2C158" w14:textId="77777777" w:rsidR="00C008A3" w:rsidRPr="009F5467" w:rsidRDefault="00C008A3" w:rsidP="00C008A3">
      <w:pPr>
        <w:spacing w:after="100" w:line="276" w:lineRule="auto"/>
        <w:ind w:left="540" w:hanging="540"/>
        <w:rPr>
          <w:rFonts w:asciiTheme="minorHAnsi" w:hAnsiTheme="minorHAnsi" w:cstheme="minorHAnsi"/>
        </w:rPr>
      </w:pPr>
      <w:r w:rsidRPr="009F5467">
        <w:rPr>
          <w:rFonts w:asciiTheme="minorHAnsi" w:eastAsia="Arial" w:hAnsiTheme="minorHAnsi" w:cstheme="minorHAnsi"/>
        </w:rPr>
        <w:t xml:space="preserve">Menopause Society. (2024). </w:t>
      </w:r>
      <w:r w:rsidRPr="009F5467">
        <w:rPr>
          <w:rFonts w:asciiTheme="minorHAnsi" w:eastAsia="Arial" w:hAnsiTheme="minorHAnsi" w:cstheme="minorHAnsi"/>
          <w:i/>
          <w:iCs/>
        </w:rPr>
        <w:t>Menopause and the workplace: Consensus recommendations</w:t>
      </w:r>
      <w:r w:rsidRPr="009F5467">
        <w:rPr>
          <w:rFonts w:asciiTheme="minorHAnsi" w:eastAsia="Arial" w:hAnsiTheme="minorHAnsi" w:cstheme="minorHAnsi"/>
        </w:rPr>
        <w:t>. https://menopause.org/wp-content/uploads/workplace/2024-Menopause-and-the-Workplace-Consensus-Recommendations.pdf</w:t>
      </w:r>
    </w:p>
    <w:p w14:paraId="23B034BF" w14:textId="77777777" w:rsidR="00C008A3" w:rsidRPr="009F5467" w:rsidRDefault="00C008A3" w:rsidP="00C008A3">
      <w:pPr>
        <w:spacing w:after="100" w:line="276" w:lineRule="auto"/>
        <w:ind w:left="540" w:hanging="540"/>
        <w:rPr>
          <w:rFonts w:asciiTheme="minorHAnsi" w:hAnsiTheme="minorHAnsi" w:cstheme="minorHAnsi"/>
        </w:rPr>
      </w:pPr>
      <w:r w:rsidRPr="009F5467">
        <w:rPr>
          <w:rFonts w:asciiTheme="minorHAnsi" w:eastAsia="Arial" w:hAnsiTheme="minorHAnsi" w:cstheme="minorHAnsi"/>
        </w:rPr>
        <w:t xml:space="preserve">Milks, H., Anderson, J., Krueger, M., Quinn, B., Westmark, D., Smallfield, S., &amp; Whitlow, M. (2024). Occupational therapy interventions supporting women’s transition into motherhood: A systematized review. </w:t>
      </w:r>
      <w:r w:rsidRPr="009F5467">
        <w:rPr>
          <w:rFonts w:asciiTheme="minorHAnsi" w:eastAsia="Arial" w:hAnsiTheme="minorHAnsi" w:cstheme="minorHAnsi"/>
          <w:i/>
          <w:iCs/>
        </w:rPr>
        <w:t>Student Systematized Reviews: Occupational Therapy</w:t>
      </w:r>
      <w:r w:rsidRPr="009F5467">
        <w:rPr>
          <w:rFonts w:asciiTheme="minorHAnsi" w:eastAsia="Arial" w:hAnsiTheme="minorHAnsi" w:cstheme="minorHAnsi"/>
        </w:rPr>
        <w:t>, UNMC. https://digitalcommons.unmc.edu/cahp_ot_sysrev/19/</w:t>
      </w:r>
    </w:p>
    <w:p w14:paraId="39E44CD1" w14:textId="77777777" w:rsidR="00C008A3" w:rsidRPr="009F5467" w:rsidRDefault="00C008A3" w:rsidP="00C008A3">
      <w:pPr>
        <w:spacing w:after="100" w:line="276" w:lineRule="auto"/>
        <w:ind w:left="540" w:hanging="540"/>
        <w:rPr>
          <w:rFonts w:asciiTheme="minorHAnsi" w:hAnsiTheme="minorHAnsi" w:cstheme="minorHAnsi"/>
        </w:rPr>
      </w:pPr>
      <w:r w:rsidRPr="009F5467">
        <w:rPr>
          <w:rFonts w:asciiTheme="minorHAnsi" w:eastAsia="Arial" w:hAnsiTheme="minorHAnsi" w:cstheme="minorHAnsi"/>
        </w:rPr>
        <w:t xml:space="preserve">Murray, C. (2023). The feasibility of occupational therapy services in women’s health. </w:t>
      </w:r>
      <w:r w:rsidRPr="009F5467">
        <w:rPr>
          <w:rFonts w:asciiTheme="minorHAnsi" w:eastAsia="Arial" w:hAnsiTheme="minorHAnsi" w:cstheme="minorHAnsi"/>
          <w:i/>
          <w:iCs/>
        </w:rPr>
        <w:t>Occupational Therapy Capstones</w:t>
      </w:r>
      <w:r w:rsidRPr="009F5467">
        <w:rPr>
          <w:rFonts w:asciiTheme="minorHAnsi" w:eastAsia="Arial" w:hAnsiTheme="minorHAnsi" w:cstheme="minorHAnsi"/>
        </w:rPr>
        <w:t>, Xavier University. https://www.exhibit.xavier.edu/ot_capstone/4/</w:t>
      </w:r>
    </w:p>
    <w:p w14:paraId="0663C811" w14:textId="77777777" w:rsidR="00C008A3" w:rsidRPr="009F5467" w:rsidRDefault="00C008A3" w:rsidP="00C008A3">
      <w:pPr>
        <w:spacing w:after="100" w:line="276" w:lineRule="auto"/>
        <w:ind w:left="540" w:hanging="540"/>
        <w:rPr>
          <w:rFonts w:asciiTheme="minorHAnsi" w:hAnsiTheme="minorHAnsi" w:cstheme="minorHAnsi"/>
        </w:rPr>
      </w:pPr>
      <w:r w:rsidRPr="009F5467">
        <w:rPr>
          <w:rFonts w:asciiTheme="minorHAnsi" w:eastAsia="Arial" w:hAnsiTheme="minorHAnsi" w:cstheme="minorHAnsi"/>
        </w:rPr>
        <w:t>Ochoa, L., &amp; Skubik-Peplaski, C. (2024). Occupational therapists’ beliefs and experiences managing chronic pain, wellness, and occupational performance. https://doi.org/10.1177/15394492231164945</w:t>
      </w:r>
    </w:p>
    <w:p w14:paraId="3CFEFB5C" w14:textId="77777777" w:rsidR="00C008A3" w:rsidRPr="009F5467" w:rsidRDefault="00C008A3" w:rsidP="00C008A3">
      <w:pPr>
        <w:spacing w:after="100" w:line="276" w:lineRule="auto"/>
        <w:ind w:left="540" w:hanging="540"/>
        <w:rPr>
          <w:rFonts w:asciiTheme="minorHAnsi" w:hAnsiTheme="minorHAnsi" w:cstheme="minorHAnsi"/>
        </w:rPr>
      </w:pPr>
      <w:r w:rsidRPr="009F5467">
        <w:rPr>
          <w:rFonts w:asciiTheme="minorHAnsi" w:eastAsia="Arial" w:hAnsiTheme="minorHAnsi" w:cstheme="minorHAnsi"/>
        </w:rPr>
        <w:t xml:space="preserve">Schmid, A. A., Le Fevre, E., et al. (2023). Women’s experience receiving OT for pelvic floor </w:t>
      </w:r>
      <w:r w:rsidRPr="009F5467">
        <w:rPr>
          <w:rFonts w:asciiTheme="minorHAnsi" w:eastAsia="Arial" w:hAnsiTheme="minorHAnsi" w:cstheme="minorHAnsi"/>
        </w:rPr>
        <w:lastRenderedPageBreak/>
        <w:t xml:space="preserve">dysfunction: A case series. </w:t>
      </w:r>
      <w:r w:rsidRPr="009F5467">
        <w:rPr>
          <w:rFonts w:asciiTheme="minorHAnsi" w:eastAsia="Arial" w:hAnsiTheme="minorHAnsi" w:cstheme="minorHAnsi"/>
          <w:i/>
          <w:iCs/>
        </w:rPr>
        <w:t>American Journal of Occupational Therapy, 77</w:t>
      </w:r>
      <w:r w:rsidRPr="009F5467">
        <w:rPr>
          <w:rFonts w:asciiTheme="minorHAnsi" w:eastAsia="Arial" w:hAnsiTheme="minorHAnsi" w:cstheme="minorHAnsi"/>
        </w:rPr>
        <w:t>(Suppl. 2). https://doi.org/10.5014/ajot.2023.77S2-PO310</w:t>
      </w:r>
    </w:p>
    <w:p w14:paraId="1CFDC154" w14:textId="77777777" w:rsidR="00C008A3" w:rsidRPr="009F5467" w:rsidRDefault="00C008A3" w:rsidP="00C008A3">
      <w:pPr>
        <w:spacing w:after="100" w:line="276" w:lineRule="auto"/>
        <w:ind w:left="540" w:hanging="540"/>
        <w:rPr>
          <w:rFonts w:asciiTheme="minorHAnsi" w:hAnsiTheme="minorHAnsi" w:cstheme="minorHAnsi"/>
        </w:rPr>
      </w:pPr>
      <w:r w:rsidRPr="009F5467">
        <w:rPr>
          <w:rFonts w:asciiTheme="minorHAnsi" w:eastAsia="Arial" w:hAnsiTheme="minorHAnsi" w:cstheme="minorHAnsi"/>
        </w:rPr>
        <w:t>Scoping review of the role of occupational therapy in the treatment of women with postpartum depression. (2021). https://doi.org/10.3928/24761222-20210921-02</w:t>
      </w:r>
    </w:p>
    <w:p w14:paraId="4DEE833D" w14:textId="77777777" w:rsidR="00C008A3" w:rsidRPr="009F5467" w:rsidRDefault="00C008A3" w:rsidP="00C008A3">
      <w:pPr>
        <w:spacing w:after="100" w:line="276" w:lineRule="auto"/>
        <w:ind w:left="540" w:hanging="540"/>
        <w:rPr>
          <w:rFonts w:asciiTheme="minorHAnsi" w:hAnsiTheme="minorHAnsi" w:cstheme="minorHAnsi"/>
        </w:rPr>
      </w:pPr>
      <w:r w:rsidRPr="009F5467">
        <w:rPr>
          <w:rFonts w:asciiTheme="minorHAnsi" w:eastAsia="Arial" w:hAnsiTheme="minorHAnsi" w:cstheme="minorHAnsi"/>
        </w:rPr>
        <w:t xml:space="preserve">Suder, R., et al. (2023). A systematic review of occupational therapy-related interventions for pediatric chronic pain. </w:t>
      </w:r>
      <w:r w:rsidRPr="009F5467">
        <w:rPr>
          <w:rFonts w:asciiTheme="minorHAnsi" w:eastAsia="Arial" w:hAnsiTheme="minorHAnsi" w:cstheme="minorHAnsi"/>
          <w:i/>
          <w:iCs/>
        </w:rPr>
        <w:t>OTJR: Occupational Therapy Journal of Research, 43</w:t>
      </w:r>
      <w:r w:rsidRPr="009F5467">
        <w:rPr>
          <w:rFonts w:asciiTheme="minorHAnsi" w:eastAsia="Arial" w:hAnsiTheme="minorHAnsi" w:cstheme="minorHAnsi"/>
        </w:rPr>
        <w:t>(1), 61–73. https://doi.org/10.1177/15394492221110544</w:t>
      </w:r>
    </w:p>
    <w:p w14:paraId="522D9F30" w14:textId="77777777" w:rsidR="00C008A3" w:rsidRPr="009F5467" w:rsidRDefault="00C008A3" w:rsidP="00C008A3">
      <w:pPr>
        <w:spacing w:after="100" w:line="276" w:lineRule="auto"/>
        <w:ind w:left="540" w:hanging="540"/>
        <w:rPr>
          <w:rFonts w:asciiTheme="minorHAnsi" w:hAnsiTheme="minorHAnsi" w:cstheme="minorHAnsi"/>
        </w:rPr>
      </w:pPr>
      <w:r w:rsidRPr="009F5467">
        <w:rPr>
          <w:rFonts w:asciiTheme="minorHAnsi" w:eastAsia="Arial" w:hAnsiTheme="minorHAnsi" w:cstheme="minorHAnsi"/>
        </w:rPr>
        <w:t xml:space="preserve">Uncovering occupational therapy’s role in addressing postpartum anxiety: A scoping review. </w:t>
      </w:r>
      <w:r w:rsidRPr="009F5467">
        <w:rPr>
          <w:rFonts w:asciiTheme="minorHAnsi" w:eastAsia="Arial" w:hAnsiTheme="minorHAnsi" w:cstheme="minorHAnsi"/>
          <w:i/>
          <w:iCs/>
        </w:rPr>
        <w:t>Open Journal of Occupational Therapy</w:t>
      </w:r>
      <w:r w:rsidRPr="009F5467">
        <w:rPr>
          <w:rFonts w:asciiTheme="minorHAnsi" w:eastAsia="Arial" w:hAnsiTheme="minorHAnsi" w:cstheme="minorHAnsi"/>
        </w:rPr>
        <w:t>. https://scholarworks.wmich.edu/cgi/viewcontent.cgi?article=2332&amp;context=ojot</w:t>
      </w:r>
    </w:p>
    <w:p w14:paraId="3B40E116" w14:textId="77777777" w:rsidR="00C008A3" w:rsidRPr="009F5467" w:rsidRDefault="00C008A3" w:rsidP="00C008A3">
      <w:pPr>
        <w:spacing w:after="100" w:line="276" w:lineRule="auto"/>
        <w:ind w:left="540" w:hanging="540"/>
        <w:rPr>
          <w:rFonts w:asciiTheme="minorHAnsi" w:hAnsiTheme="minorHAnsi" w:cstheme="minorHAnsi"/>
        </w:rPr>
      </w:pPr>
      <w:r w:rsidRPr="009F5467">
        <w:rPr>
          <w:rFonts w:asciiTheme="minorHAnsi" w:eastAsia="Arial" w:hAnsiTheme="minorHAnsi" w:cstheme="minorHAnsi"/>
        </w:rPr>
        <w:t xml:space="preserve">Women’s experience of the impact of work environment during menopause: A qualitative interview study. (2025). </w:t>
      </w:r>
      <w:r w:rsidRPr="009F5467">
        <w:rPr>
          <w:rFonts w:asciiTheme="minorHAnsi" w:eastAsia="Arial" w:hAnsiTheme="minorHAnsi" w:cstheme="minorHAnsi"/>
          <w:i/>
          <w:iCs/>
        </w:rPr>
        <w:t>Scandinavian Journal of Occupational Therapy, 32</w:t>
      </w:r>
      <w:r w:rsidRPr="009F5467">
        <w:rPr>
          <w:rFonts w:asciiTheme="minorHAnsi" w:eastAsia="Arial" w:hAnsiTheme="minorHAnsi" w:cstheme="minorHAnsi"/>
        </w:rPr>
        <w:t>(1). https://doi.org/10.1080/11038128.2025.2519241</w:t>
      </w:r>
    </w:p>
    <w:p w14:paraId="780C2C6F" w14:textId="77777777" w:rsidR="00C008A3" w:rsidRPr="009F5467" w:rsidRDefault="00C008A3" w:rsidP="00C008A3">
      <w:pPr>
        <w:widowControl/>
        <w:shd w:val="clear" w:color="auto" w:fill="FFFFFF"/>
        <w:autoSpaceDE/>
        <w:autoSpaceDN/>
        <w:spacing w:after="120"/>
        <w:rPr>
          <w:rFonts w:asciiTheme="minorHAnsi" w:eastAsia="Times New Roman" w:hAnsiTheme="minorHAnsi" w:cstheme="minorHAnsi"/>
          <w:color w:val="222222"/>
          <w:sz w:val="23"/>
          <w:szCs w:val="23"/>
          <w:lang w:val="en-AU" w:eastAsia="en-AU"/>
        </w:rPr>
      </w:pPr>
    </w:p>
    <w:p w14:paraId="44BFF63A" w14:textId="77777777" w:rsidR="00B31A80" w:rsidRPr="009F5467" w:rsidRDefault="00B31A80" w:rsidP="003D42B9">
      <w:pPr>
        <w:pStyle w:val="Heading2"/>
        <w:rPr>
          <w:lang w:val="en-AU"/>
        </w:rPr>
      </w:pPr>
      <w:r w:rsidRPr="009F5467">
        <w:rPr>
          <w:lang w:val="en-AU"/>
        </w:rPr>
        <w:t>Terms of Reference</w:t>
      </w:r>
    </w:p>
    <w:p w14:paraId="1355F7D3" w14:textId="77777777" w:rsidR="00B31A80" w:rsidRPr="009F5467" w:rsidRDefault="00B31A80" w:rsidP="00B31A80">
      <w:pPr>
        <w:widowControl/>
        <w:numPr>
          <w:ilvl w:val="0"/>
          <w:numId w:val="22"/>
        </w:numPr>
        <w:shd w:val="clear" w:color="auto" w:fill="FFFFFF"/>
        <w:autoSpaceDE/>
        <w:autoSpaceDN/>
        <w:spacing w:after="120"/>
        <w:rPr>
          <w:rFonts w:asciiTheme="minorHAnsi" w:eastAsia="Times New Roman" w:hAnsiTheme="minorHAnsi" w:cstheme="minorHAnsi"/>
          <w:color w:val="222222"/>
          <w:sz w:val="23"/>
          <w:szCs w:val="23"/>
          <w:lang w:val="en-AU" w:eastAsia="en-AU"/>
        </w:rPr>
      </w:pPr>
      <w:r w:rsidRPr="009F5467">
        <w:rPr>
          <w:rFonts w:asciiTheme="minorHAnsi" w:eastAsia="Times New Roman" w:hAnsiTheme="minorHAnsi" w:cstheme="minorHAnsi"/>
          <w:color w:val="222222"/>
          <w:sz w:val="23"/>
          <w:szCs w:val="23"/>
          <w:lang w:val="en-AU" w:eastAsia="en-AU"/>
        </w:rPr>
        <w:t>That a select committee, to be known as the Select Committee on Women's Health, be established to inquire into and report on:</w:t>
      </w:r>
    </w:p>
    <w:p w14:paraId="64110A94" w14:textId="77777777" w:rsidR="00B31A80" w:rsidRPr="009F5467" w:rsidRDefault="00B31A80" w:rsidP="00B31A80">
      <w:pPr>
        <w:widowControl/>
        <w:numPr>
          <w:ilvl w:val="1"/>
          <w:numId w:val="22"/>
        </w:numPr>
        <w:shd w:val="clear" w:color="auto" w:fill="FFFFFF"/>
        <w:autoSpaceDE/>
        <w:autoSpaceDN/>
        <w:spacing w:after="120"/>
        <w:rPr>
          <w:rFonts w:asciiTheme="minorHAnsi" w:eastAsia="Times New Roman" w:hAnsiTheme="minorHAnsi" w:cstheme="minorHAnsi"/>
          <w:color w:val="222222"/>
          <w:sz w:val="23"/>
          <w:szCs w:val="23"/>
          <w:lang w:val="en-AU" w:eastAsia="en-AU"/>
        </w:rPr>
      </w:pPr>
      <w:r w:rsidRPr="009F5467">
        <w:rPr>
          <w:rFonts w:asciiTheme="minorHAnsi" w:eastAsia="Times New Roman" w:hAnsiTheme="minorHAnsi" w:cstheme="minorHAnsi"/>
          <w:color w:val="222222"/>
          <w:sz w:val="23"/>
          <w:szCs w:val="23"/>
          <w:lang w:val="en-AU" w:eastAsia="en-AU"/>
        </w:rPr>
        <w:t>best practice approaches to postpartum healthcare, including the delivery of physical and mental health support and services for mothers and their partners including those who have experienced infant loss;</w:t>
      </w:r>
    </w:p>
    <w:p w14:paraId="7CCFC10E" w14:textId="77777777" w:rsidR="00B31A80" w:rsidRPr="009F5467" w:rsidRDefault="00B31A80" w:rsidP="00B31A80">
      <w:pPr>
        <w:widowControl/>
        <w:numPr>
          <w:ilvl w:val="1"/>
          <w:numId w:val="22"/>
        </w:numPr>
        <w:shd w:val="clear" w:color="auto" w:fill="FFFFFF"/>
        <w:autoSpaceDE/>
        <w:autoSpaceDN/>
        <w:spacing w:after="120"/>
        <w:rPr>
          <w:rFonts w:asciiTheme="minorHAnsi" w:eastAsia="Times New Roman" w:hAnsiTheme="minorHAnsi" w:cstheme="minorHAnsi"/>
          <w:color w:val="222222"/>
          <w:sz w:val="23"/>
          <w:szCs w:val="23"/>
          <w:lang w:val="en-AU" w:eastAsia="en-AU"/>
        </w:rPr>
      </w:pPr>
      <w:r w:rsidRPr="009F5467">
        <w:rPr>
          <w:rFonts w:asciiTheme="minorHAnsi" w:eastAsia="Times New Roman" w:hAnsiTheme="minorHAnsi" w:cstheme="minorHAnsi"/>
          <w:color w:val="222222"/>
          <w:sz w:val="23"/>
          <w:szCs w:val="23"/>
          <w:lang w:val="en-AU" w:eastAsia="en-AU"/>
        </w:rPr>
        <w:t>women's experiences in the postpartum period, including the physical, psychological, emotional and economic impacts of birth;</w:t>
      </w:r>
    </w:p>
    <w:p w14:paraId="492E2880" w14:textId="77777777" w:rsidR="00B31A80" w:rsidRPr="009F5467" w:rsidRDefault="00B31A80" w:rsidP="00B31A80">
      <w:pPr>
        <w:widowControl/>
        <w:numPr>
          <w:ilvl w:val="1"/>
          <w:numId w:val="22"/>
        </w:numPr>
        <w:shd w:val="clear" w:color="auto" w:fill="FFFFFF"/>
        <w:autoSpaceDE/>
        <w:autoSpaceDN/>
        <w:spacing w:after="120"/>
        <w:rPr>
          <w:rFonts w:asciiTheme="minorHAnsi" w:eastAsia="Times New Roman" w:hAnsiTheme="minorHAnsi" w:cstheme="minorHAnsi"/>
          <w:color w:val="222222"/>
          <w:sz w:val="23"/>
          <w:szCs w:val="23"/>
          <w:lang w:val="en-AU" w:eastAsia="en-AU"/>
        </w:rPr>
      </w:pPr>
      <w:r w:rsidRPr="009F5467">
        <w:rPr>
          <w:rFonts w:asciiTheme="minorHAnsi" w:eastAsia="Times New Roman" w:hAnsiTheme="minorHAnsi" w:cstheme="minorHAnsi"/>
          <w:color w:val="222222"/>
          <w:sz w:val="23"/>
          <w:szCs w:val="23"/>
          <w:lang w:val="en-AU" w:eastAsia="en-AU"/>
        </w:rPr>
        <w:t>best practice pregnancy and postpartum care models to support long-term maternal physical and mental health;</w:t>
      </w:r>
    </w:p>
    <w:p w14:paraId="0AD49E6E" w14:textId="77777777" w:rsidR="00B31A80" w:rsidRPr="009F5467" w:rsidRDefault="00B31A80" w:rsidP="00B31A80">
      <w:pPr>
        <w:widowControl/>
        <w:numPr>
          <w:ilvl w:val="1"/>
          <w:numId w:val="22"/>
        </w:numPr>
        <w:shd w:val="clear" w:color="auto" w:fill="FFFFFF"/>
        <w:autoSpaceDE/>
        <w:autoSpaceDN/>
        <w:spacing w:after="120"/>
        <w:rPr>
          <w:rFonts w:asciiTheme="minorHAnsi" w:eastAsia="Times New Roman" w:hAnsiTheme="minorHAnsi" w:cstheme="minorHAnsi"/>
          <w:color w:val="222222"/>
          <w:sz w:val="23"/>
          <w:szCs w:val="23"/>
          <w:lang w:val="en-AU" w:eastAsia="en-AU"/>
        </w:rPr>
      </w:pPr>
      <w:r w:rsidRPr="009F5467">
        <w:rPr>
          <w:rFonts w:asciiTheme="minorHAnsi" w:eastAsia="Times New Roman" w:hAnsiTheme="minorHAnsi" w:cstheme="minorHAnsi"/>
          <w:color w:val="222222"/>
          <w:sz w:val="23"/>
          <w:szCs w:val="23"/>
          <w:lang w:val="en-AU" w:eastAsia="en-AU"/>
        </w:rPr>
        <w:t>the cost and accessibility of postpartum healthcare, including:</w:t>
      </w:r>
    </w:p>
    <w:p w14:paraId="19CE92F7" w14:textId="77777777" w:rsidR="00B31A80" w:rsidRPr="009F5467" w:rsidRDefault="00B31A80" w:rsidP="00B31A80">
      <w:pPr>
        <w:widowControl/>
        <w:numPr>
          <w:ilvl w:val="2"/>
          <w:numId w:val="22"/>
        </w:numPr>
        <w:shd w:val="clear" w:color="auto" w:fill="FFFFFF"/>
        <w:autoSpaceDE/>
        <w:autoSpaceDN/>
        <w:spacing w:after="120"/>
        <w:rPr>
          <w:rFonts w:asciiTheme="minorHAnsi" w:eastAsia="Times New Roman" w:hAnsiTheme="minorHAnsi" w:cstheme="minorHAnsi"/>
          <w:color w:val="222222"/>
          <w:sz w:val="23"/>
          <w:szCs w:val="23"/>
          <w:lang w:val="en-AU" w:eastAsia="en-AU"/>
        </w:rPr>
      </w:pPr>
      <w:r w:rsidRPr="009F5467">
        <w:rPr>
          <w:rFonts w:asciiTheme="minorHAnsi" w:eastAsia="Times New Roman" w:hAnsiTheme="minorHAnsi" w:cstheme="minorHAnsi"/>
          <w:color w:val="222222"/>
          <w:sz w:val="23"/>
          <w:szCs w:val="23"/>
          <w:lang w:val="en-AU" w:eastAsia="en-AU"/>
        </w:rPr>
        <w:t>infant feeding supports,</w:t>
      </w:r>
    </w:p>
    <w:p w14:paraId="24E8DFA1" w14:textId="77777777" w:rsidR="00B31A80" w:rsidRPr="009F5467" w:rsidRDefault="00B31A80" w:rsidP="00B31A80">
      <w:pPr>
        <w:widowControl/>
        <w:numPr>
          <w:ilvl w:val="2"/>
          <w:numId w:val="22"/>
        </w:numPr>
        <w:shd w:val="clear" w:color="auto" w:fill="FFFFFF"/>
        <w:autoSpaceDE/>
        <w:autoSpaceDN/>
        <w:spacing w:after="120"/>
        <w:rPr>
          <w:rFonts w:asciiTheme="minorHAnsi" w:eastAsia="Times New Roman" w:hAnsiTheme="minorHAnsi" w:cstheme="minorHAnsi"/>
          <w:color w:val="222222"/>
          <w:sz w:val="23"/>
          <w:szCs w:val="23"/>
          <w:lang w:val="en-AU" w:eastAsia="en-AU"/>
        </w:rPr>
      </w:pPr>
      <w:r w:rsidRPr="009F5467">
        <w:rPr>
          <w:rFonts w:asciiTheme="minorHAnsi" w:eastAsia="Times New Roman" w:hAnsiTheme="minorHAnsi" w:cstheme="minorHAnsi"/>
          <w:color w:val="222222"/>
          <w:sz w:val="23"/>
          <w:szCs w:val="23"/>
          <w:lang w:val="en-AU" w:eastAsia="en-AU"/>
        </w:rPr>
        <w:t>mental health supports and services,</w:t>
      </w:r>
    </w:p>
    <w:p w14:paraId="14D7EB6C" w14:textId="77777777" w:rsidR="00B31A80" w:rsidRPr="009F5467" w:rsidRDefault="00B31A80" w:rsidP="00B31A80">
      <w:pPr>
        <w:widowControl/>
        <w:numPr>
          <w:ilvl w:val="2"/>
          <w:numId w:val="22"/>
        </w:numPr>
        <w:shd w:val="clear" w:color="auto" w:fill="FFFFFF"/>
        <w:autoSpaceDE/>
        <w:autoSpaceDN/>
        <w:spacing w:after="120"/>
        <w:rPr>
          <w:rFonts w:asciiTheme="minorHAnsi" w:eastAsia="Times New Roman" w:hAnsiTheme="minorHAnsi" w:cstheme="minorHAnsi"/>
          <w:color w:val="222222"/>
          <w:sz w:val="23"/>
          <w:szCs w:val="23"/>
          <w:lang w:val="en-AU" w:eastAsia="en-AU"/>
        </w:rPr>
      </w:pPr>
      <w:r w:rsidRPr="009F5467">
        <w:rPr>
          <w:rFonts w:asciiTheme="minorHAnsi" w:eastAsia="Times New Roman" w:hAnsiTheme="minorHAnsi" w:cstheme="minorHAnsi"/>
          <w:color w:val="222222"/>
          <w:sz w:val="23"/>
          <w:szCs w:val="23"/>
          <w:lang w:val="en-AU" w:eastAsia="en-AU"/>
        </w:rPr>
        <w:t>physiotherapy services, including pelvic health services, and</w:t>
      </w:r>
    </w:p>
    <w:p w14:paraId="3A6F5019" w14:textId="77777777" w:rsidR="00B31A80" w:rsidRPr="009F5467" w:rsidRDefault="00B31A80" w:rsidP="00B31A80">
      <w:pPr>
        <w:widowControl/>
        <w:numPr>
          <w:ilvl w:val="2"/>
          <w:numId w:val="22"/>
        </w:numPr>
        <w:shd w:val="clear" w:color="auto" w:fill="FFFFFF"/>
        <w:autoSpaceDE/>
        <w:autoSpaceDN/>
        <w:spacing w:after="120"/>
        <w:rPr>
          <w:rFonts w:asciiTheme="minorHAnsi" w:eastAsia="Times New Roman" w:hAnsiTheme="minorHAnsi" w:cstheme="minorHAnsi"/>
          <w:color w:val="222222"/>
          <w:sz w:val="23"/>
          <w:szCs w:val="23"/>
          <w:lang w:val="en-AU" w:eastAsia="en-AU"/>
        </w:rPr>
      </w:pPr>
      <w:r w:rsidRPr="009F5467">
        <w:rPr>
          <w:rFonts w:asciiTheme="minorHAnsi" w:eastAsia="Times New Roman" w:hAnsiTheme="minorHAnsi" w:cstheme="minorHAnsi"/>
          <w:color w:val="222222"/>
          <w:sz w:val="23"/>
          <w:szCs w:val="23"/>
          <w:lang w:val="en-AU" w:eastAsia="en-AU"/>
        </w:rPr>
        <w:t>related allied health services;</w:t>
      </w:r>
    </w:p>
    <w:p w14:paraId="5B609BF5" w14:textId="77777777" w:rsidR="00B31A80" w:rsidRPr="009F5467" w:rsidRDefault="00B31A80" w:rsidP="00B31A80">
      <w:pPr>
        <w:widowControl/>
        <w:numPr>
          <w:ilvl w:val="1"/>
          <w:numId w:val="22"/>
        </w:numPr>
        <w:shd w:val="clear" w:color="auto" w:fill="FFFFFF"/>
        <w:autoSpaceDE/>
        <w:autoSpaceDN/>
        <w:spacing w:after="120"/>
        <w:rPr>
          <w:rFonts w:asciiTheme="minorHAnsi" w:eastAsia="Times New Roman" w:hAnsiTheme="minorHAnsi" w:cstheme="minorHAnsi"/>
          <w:color w:val="222222"/>
          <w:sz w:val="23"/>
          <w:szCs w:val="23"/>
          <w:lang w:val="en-AU" w:eastAsia="en-AU"/>
        </w:rPr>
      </w:pPr>
      <w:r w:rsidRPr="009F5467">
        <w:rPr>
          <w:rFonts w:asciiTheme="minorHAnsi" w:eastAsia="Times New Roman" w:hAnsiTheme="minorHAnsi" w:cstheme="minorHAnsi"/>
          <w:color w:val="222222"/>
          <w:sz w:val="23"/>
          <w:szCs w:val="23"/>
          <w:lang w:val="en-AU" w:eastAsia="en-AU"/>
        </w:rPr>
        <w:t>antenatal and postpartum reproductive health support and education, including contraceptive care;</w:t>
      </w:r>
    </w:p>
    <w:p w14:paraId="244BEDC8" w14:textId="77777777" w:rsidR="00B31A80" w:rsidRPr="009F5467" w:rsidRDefault="00B31A80" w:rsidP="00B31A80">
      <w:pPr>
        <w:widowControl/>
        <w:numPr>
          <w:ilvl w:val="1"/>
          <w:numId w:val="22"/>
        </w:numPr>
        <w:shd w:val="clear" w:color="auto" w:fill="FFFFFF"/>
        <w:autoSpaceDE/>
        <w:autoSpaceDN/>
        <w:spacing w:after="120"/>
        <w:rPr>
          <w:rFonts w:asciiTheme="minorHAnsi" w:eastAsia="Times New Roman" w:hAnsiTheme="minorHAnsi" w:cstheme="minorHAnsi"/>
          <w:color w:val="222222"/>
          <w:sz w:val="23"/>
          <w:szCs w:val="23"/>
          <w:lang w:val="en-AU" w:eastAsia="en-AU"/>
        </w:rPr>
      </w:pPr>
      <w:r w:rsidRPr="009F5467">
        <w:rPr>
          <w:rFonts w:asciiTheme="minorHAnsi" w:eastAsia="Times New Roman" w:hAnsiTheme="minorHAnsi" w:cstheme="minorHAnsi"/>
          <w:color w:val="222222"/>
          <w:sz w:val="23"/>
          <w:szCs w:val="23"/>
          <w:lang w:val="en-AU" w:eastAsia="en-AU"/>
        </w:rPr>
        <w:t>research, education and training on pregnancy and postpartum care for healthcare professionals working in maternal care;</w:t>
      </w:r>
    </w:p>
    <w:p w14:paraId="0FEDDB17" w14:textId="77777777" w:rsidR="00B31A80" w:rsidRPr="009F5467" w:rsidRDefault="00B31A80" w:rsidP="00B31A80">
      <w:pPr>
        <w:widowControl/>
        <w:numPr>
          <w:ilvl w:val="1"/>
          <w:numId w:val="22"/>
        </w:numPr>
        <w:shd w:val="clear" w:color="auto" w:fill="FFFFFF"/>
        <w:autoSpaceDE/>
        <w:autoSpaceDN/>
        <w:spacing w:after="120"/>
        <w:rPr>
          <w:rFonts w:asciiTheme="minorHAnsi" w:eastAsia="Times New Roman" w:hAnsiTheme="minorHAnsi" w:cstheme="minorHAnsi"/>
          <w:color w:val="222222"/>
          <w:sz w:val="23"/>
          <w:szCs w:val="23"/>
          <w:lang w:val="en-AU" w:eastAsia="en-AU"/>
        </w:rPr>
      </w:pPr>
      <w:r w:rsidRPr="009F5467">
        <w:rPr>
          <w:rFonts w:asciiTheme="minorHAnsi" w:eastAsia="Times New Roman" w:hAnsiTheme="minorHAnsi" w:cstheme="minorHAnsi"/>
          <w:color w:val="222222"/>
          <w:sz w:val="23"/>
          <w:szCs w:val="23"/>
          <w:lang w:val="en-AU" w:eastAsia="en-AU"/>
        </w:rPr>
        <w:lastRenderedPageBreak/>
        <w:t>existing Commonwealth, state and territory government policies, programs and healthcare initiatives addressing postpartum care;</w:t>
      </w:r>
    </w:p>
    <w:p w14:paraId="32FAB522" w14:textId="77777777" w:rsidR="00B31A80" w:rsidRPr="009F5467" w:rsidRDefault="00B31A80" w:rsidP="00B31A80">
      <w:pPr>
        <w:widowControl/>
        <w:numPr>
          <w:ilvl w:val="1"/>
          <w:numId w:val="22"/>
        </w:numPr>
        <w:shd w:val="clear" w:color="auto" w:fill="FFFFFF"/>
        <w:autoSpaceDE/>
        <w:autoSpaceDN/>
        <w:spacing w:after="120"/>
        <w:rPr>
          <w:rFonts w:asciiTheme="minorHAnsi" w:eastAsia="Times New Roman" w:hAnsiTheme="minorHAnsi" w:cstheme="minorHAnsi"/>
          <w:color w:val="222222"/>
          <w:sz w:val="23"/>
          <w:szCs w:val="23"/>
          <w:lang w:val="en-AU" w:eastAsia="en-AU"/>
        </w:rPr>
      </w:pPr>
      <w:r w:rsidRPr="009F5467">
        <w:rPr>
          <w:rFonts w:asciiTheme="minorHAnsi" w:eastAsia="Times New Roman" w:hAnsiTheme="minorHAnsi" w:cstheme="minorHAnsi"/>
          <w:color w:val="222222"/>
          <w:sz w:val="23"/>
          <w:szCs w:val="23"/>
          <w:lang w:val="en-AU" w:eastAsia="en-AU"/>
        </w:rPr>
        <w:t>data collection, reporting and monitoring processes and allocation of research efforts relating to postpartum healthcare;</w:t>
      </w:r>
    </w:p>
    <w:p w14:paraId="5703A088" w14:textId="77777777" w:rsidR="00B31A80" w:rsidRPr="009F5467" w:rsidRDefault="00B31A80" w:rsidP="00B31A80">
      <w:pPr>
        <w:widowControl/>
        <w:numPr>
          <w:ilvl w:val="1"/>
          <w:numId w:val="22"/>
        </w:numPr>
        <w:shd w:val="clear" w:color="auto" w:fill="FFFFFF"/>
        <w:autoSpaceDE/>
        <w:autoSpaceDN/>
        <w:spacing w:after="120"/>
        <w:rPr>
          <w:rFonts w:asciiTheme="minorHAnsi" w:eastAsia="Times New Roman" w:hAnsiTheme="minorHAnsi" w:cstheme="minorHAnsi"/>
          <w:color w:val="222222"/>
          <w:sz w:val="23"/>
          <w:szCs w:val="23"/>
          <w:lang w:val="en-AU" w:eastAsia="en-AU"/>
        </w:rPr>
      </w:pPr>
      <w:r w:rsidRPr="009F5467">
        <w:rPr>
          <w:rFonts w:asciiTheme="minorHAnsi" w:eastAsia="Times New Roman" w:hAnsiTheme="minorHAnsi" w:cstheme="minorHAnsi"/>
          <w:color w:val="222222"/>
          <w:sz w:val="23"/>
          <w:szCs w:val="23"/>
          <w:lang w:val="en-AU" w:eastAsia="en-AU"/>
        </w:rPr>
        <w:t>the ways in which women and girls experience recurrent, severe, or long-lasting pain conditions;</w:t>
      </w:r>
    </w:p>
    <w:p w14:paraId="413270AD" w14:textId="77777777" w:rsidR="00B31A80" w:rsidRPr="009F5467" w:rsidRDefault="00B31A80" w:rsidP="00B31A80">
      <w:pPr>
        <w:widowControl/>
        <w:numPr>
          <w:ilvl w:val="1"/>
          <w:numId w:val="22"/>
        </w:numPr>
        <w:shd w:val="clear" w:color="auto" w:fill="FFFFFF"/>
        <w:autoSpaceDE/>
        <w:autoSpaceDN/>
        <w:spacing w:after="120"/>
        <w:rPr>
          <w:rFonts w:asciiTheme="minorHAnsi" w:eastAsia="Times New Roman" w:hAnsiTheme="minorHAnsi" w:cstheme="minorHAnsi"/>
          <w:color w:val="222222"/>
          <w:sz w:val="23"/>
          <w:szCs w:val="23"/>
          <w:lang w:val="en-AU" w:eastAsia="en-AU"/>
        </w:rPr>
      </w:pPr>
      <w:r w:rsidRPr="009F5467">
        <w:rPr>
          <w:rFonts w:asciiTheme="minorHAnsi" w:eastAsia="Times New Roman" w:hAnsiTheme="minorHAnsi" w:cstheme="minorHAnsi"/>
          <w:color w:val="222222"/>
          <w:sz w:val="23"/>
          <w:szCs w:val="23"/>
          <w:lang w:val="en-AU" w:eastAsia="en-AU"/>
        </w:rPr>
        <w:t>women's experience in seeking appropriate healthcare responses to pain, including experiences of medical misogyny;</w:t>
      </w:r>
    </w:p>
    <w:p w14:paraId="47196C92" w14:textId="77777777" w:rsidR="00B31A80" w:rsidRPr="009F5467" w:rsidRDefault="00B31A80" w:rsidP="00B31A80">
      <w:pPr>
        <w:widowControl/>
        <w:numPr>
          <w:ilvl w:val="1"/>
          <w:numId w:val="22"/>
        </w:numPr>
        <w:shd w:val="clear" w:color="auto" w:fill="FFFFFF"/>
        <w:autoSpaceDE/>
        <w:autoSpaceDN/>
        <w:spacing w:after="120"/>
        <w:rPr>
          <w:rFonts w:asciiTheme="minorHAnsi" w:eastAsia="Times New Roman" w:hAnsiTheme="minorHAnsi" w:cstheme="minorHAnsi"/>
          <w:color w:val="222222"/>
          <w:sz w:val="23"/>
          <w:szCs w:val="23"/>
          <w:lang w:val="en-AU" w:eastAsia="en-AU"/>
        </w:rPr>
      </w:pPr>
      <w:r w:rsidRPr="009F5467">
        <w:rPr>
          <w:rFonts w:asciiTheme="minorHAnsi" w:eastAsia="Times New Roman" w:hAnsiTheme="minorHAnsi" w:cstheme="minorHAnsi"/>
          <w:color w:val="222222"/>
          <w:sz w:val="23"/>
          <w:szCs w:val="23"/>
          <w:lang w:val="en-AU" w:eastAsia="en-AU"/>
        </w:rPr>
        <w:t>barriers to effective pain management, including the range and affordability of available treatments;</w:t>
      </w:r>
    </w:p>
    <w:p w14:paraId="35670112" w14:textId="77777777" w:rsidR="00B31A80" w:rsidRPr="009F5467" w:rsidRDefault="00B31A80" w:rsidP="00B31A80">
      <w:pPr>
        <w:widowControl/>
        <w:numPr>
          <w:ilvl w:val="1"/>
          <w:numId w:val="22"/>
        </w:numPr>
        <w:shd w:val="clear" w:color="auto" w:fill="FFFFFF"/>
        <w:autoSpaceDE/>
        <w:autoSpaceDN/>
        <w:spacing w:after="120"/>
        <w:rPr>
          <w:rFonts w:asciiTheme="minorHAnsi" w:eastAsia="Times New Roman" w:hAnsiTheme="minorHAnsi" w:cstheme="minorHAnsi"/>
          <w:color w:val="222222"/>
          <w:sz w:val="23"/>
          <w:szCs w:val="23"/>
          <w:lang w:val="en-AU" w:eastAsia="en-AU"/>
        </w:rPr>
      </w:pPr>
      <w:r w:rsidRPr="009F5467">
        <w:rPr>
          <w:rFonts w:asciiTheme="minorHAnsi" w:eastAsia="Times New Roman" w:hAnsiTheme="minorHAnsi" w:cstheme="minorHAnsi"/>
          <w:color w:val="222222"/>
          <w:sz w:val="23"/>
          <w:szCs w:val="23"/>
          <w:lang w:val="en-AU" w:eastAsia="en-AU"/>
        </w:rPr>
        <w:t>best practice approaches to assisted reproduction treatments;</w:t>
      </w:r>
    </w:p>
    <w:p w14:paraId="4BA0D5D2" w14:textId="77777777" w:rsidR="00B31A80" w:rsidRPr="009F5467" w:rsidRDefault="00B31A80" w:rsidP="00B31A80">
      <w:pPr>
        <w:widowControl/>
        <w:numPr>
          <w:ilvl w:val="1"/>
          <w:numId w:val="22"/>
        </w:numPr>
        <w:shd w:val="clear" w:color="auto" w:fill="FFFFFF"/>
        <w:autoSpaceDE/>
        <w:autoSpaceDN/>
        <w:spacing w:after="120"/>
        <w:rPr>
          <w:rFonts w:asciiTheme="minorHAnsi" w:eastAsia="Times New Roman" w:hAnsiTheme="minorHAnsi" w:cstheme="minorHAnsi"/>
          <w:color w:val="222222"/>
          <w:sz w:val="23"/>
          <w:szCs w:val="23"/>
          <w:lang w:val="en-AU" w:eastAsia="en-AU"/>
        </w:rPr>
      </w:pPr>
      <w:r w:rsidRPr="009F5467">
        <w:rPr>
          <w:rFonts w:asciiTheme="minorHAnsi" w:eastAsia="Times New Roman" w:hAnsiTheme="minorHAnsi" w:cstheme="minorHAnsi"/>
          <w:color w:val="222222"/>
          <w:sz w:val="23"/>
          <w:szCs w:val="23"/>
          <w:lang w:val="en-AU" w:eastAsia="en-AU"/>
        </w:rPr>
        <w:t>access and affordability issues relating to fertility and assisted reproduction treatments;</w:t>
      </w:r>
    </w:p>
    <w:p w14:paraId="7437C1A9" w14:textId="77777777" w:rsidR="00B31A80" w:rsidRPr="009F5467" w:rsidRDefault="00B31A80" w:rsidP="00B31A80">
      <w:pPr>
        <w:widowControl/>
        <w:numPr>
          <w:ilvl w:val="1"/>
          <w:numId w:val="22"/>
        </w:numPr>
        <w:shd w:val="clear" w:color="auto" w:fill="FFFFFF"/>
        <w:autoSpaceDE/>
        <w:autoSpaceDN/>
        <w:spacing w:after="120"/>
        <w:rPr>
          <w:rFonts w:asciiTheme="minorHAnsi" w:eastAsia="Times New Roman" w:hAnsiTheme="minorHAnsi" w:cstheme="minorHAnsi"/>
          <w:color w:val="222222"/>
          <w:sz w:val="23"/>
          <w:szCs w:val="23"/>
          <w:lang w:val="en-AU" w:eastAsia="en-AU"/>
        </w:rPr>
      </w:pPr>
      <w:r w:rsidRPr="009F5467">
        <w:rPr>
          <w:rFonts w:asciiTheme="minorHAnsi" w:eastAsia="Times New Roman" w:hAnsiTheme="minorHAnsi" w:cstheme="minorHAnsi"/>
          <w:color w:val="222222"/>
          <w:sz w:val="23"/>
          <w:szCs w:val="23"/>
          <w:lang w:val="en-AU" w:eastAsia="en-AU"/>
        </w:rPr>
        <w:t>the regulation of medical devices used in women's healthcare treatments, including risk assessments, monitoring and reporting;</w:t>
      </w:r>
    </w:p>
    <w:p w14:paraId="1A0D7193" w14:textId="77777777" w:rsidR="00B31A80" w:rsidRPr="009F5467" w:rsidRDefault="00B31A80" w:rsidP="00B31A80">
      <w:pPr>
        <w:widowControl/>
        <w:numPr>
          <w:ilvl w:val="1"/>
          <w:numId w:val="22"/>
        </w:numPr>
        <w:shd w:val="clear" w:color="auto" w:fill="FFFFFF"/>
        <w:autoSpaceDE/>
        <w:autoSpaceDN/>
        <w:spacing w:after="120"/>
        <w:rPr>
          <w:rFonts w:asciiTheme="minorHAnsi" w:eastAsia="Times New Roman" w:hAnsiTheme="minorHAnsi" w:cstheme="minorHAnsi"/>
          <w:color w:val="222222"/>
          <w:sz w:val="23"/>
          <w:szCs w:val="23"/>
          <w:lang w:val="en-AU" w:eastAsia="en-AU"/>
        </w:rPr>
      </w:pPr>
      <w:r w:rsidRPr="009F5467">
        <w:rPr>
          <w:rFonts w:asciiTheme="minorHAnsi" w:eastAsia="Times New Roman" w:hAnsiTheme="minorHAnsi" w:cstheme="minorHAnsi"/>
          <w:color w:val="222222"/>
          <w:sz w:val="23"/>
          <w:szCs w:val="23"/>
          <w:lang w:val="en-AU" w:eastAsia="en-AU"/>
        </w:rPr>
        <w:t>the role of relevant regulators and other agencies in responding to complaints regarding medical devices; and</w:t>
      </w:r>
    </w:p>
    <w:p w14:paraId="10CACD93" w14:textId="77777777" w:rsidR="00B31A80" w:rsidRPr="009F5467" w:rsidRDefault="00B31A80" w:rsidP="00B31A80">
      <w:pPr>
        <w:widowControl/>
        <w:numPr>
          <w:ilvl w:val="1"/>
          <w:numId w:val="22"/>
        </w:numPr>
        <w:shd w:val="clear" w:color="auto" w:fill="FFFFFF"/>
        <w:autoSpaceDE/>
        <w:autoSpaceDN/>
        <w:spacing w:after="120"/>
        <w:rPr>
          <w:rFonts w:asciiTheme="minorHAnsi" w:eastAsia="Times New Roman" w:hAnsiTheme="minorHAnsi" w:cstheme="minorHAnsi"/>
          <w:color w:val="222222"/>
          <w:sz w:val="23"/>
          <w:szCs w:val="23"/>
          <w:lang w:val="en-AU" w:eastAsia="en-AU"/>
        </w:rPr>
      </w:pPr>
      <w:r w:rsidRPr="009F5467">
        <w:rPr>
          <w:rFonts w:asciiTheme="minorHAnsi" w:eastAsia="Times New Roman" w:hAnsiTheme="minorHAnsi" w:cstheme="minorHAnsi"/>
          <w:color w:val="222222"/>
          <w:sz w:val="23"/>
          <w:szCs w:val="23"/>
          <w:lang w:val="en-AU" w:eastAsia="en-AU"/>
        </w:rPr>
        <w:t>any related matters.</w:t>
      </w:r>
    </w:p>
    <w:sectPr w:rsidR="00B31A80" w:rsidRPr="009F5467" w:rsidSect="00705681">
      <w:headerReference w:type="default" r:id="rId9"/>
      <w:footerReference w:type="default" r:id="rId10"/>
      <w:pgSz w:w="11910" w:h="16840"/>
      <w:pgMar w:top="1440" w:right="1440" w:bottom="1440" w:left="1440" w:header="833" w:footer="104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C9514" w14:textId="77777777" w:rsidR="00507113" w:rsidRDefault="00507113">
      <w:r>
        <w:separator/>
      </w:r>
    </w:p>
  </w:endnote>
  <w:endnote w:type="continuationSeparator" w:id="0">
    <w:p w14:paraId="7A6BD7FF" w14:textId="77777777" w:rsidR="00507113" w:rsidRDefault="00507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Fluent Icons">
    <w:panose1 w:val="050A0102010101010101"/>
    <w:charset w:val="00"/>
    <w:family w:val="roman"/>
    <w:pitch w:val="variable"/>
    <w:sig w:usb0="00000003" w:usb1="1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2071689"/>
      <w:docPartObj>
        <w:docPartGallery w:val="Page Numbers (Bottom of Page)"/>
        <w:docPartUnique/>
      </w:docPartObj>
    </w:sdtPr>
    <w:sdtEndPr>
      <w:rPr>
        <w:noProof/>
      </w:rPr>
    </w:sdtEndPr>
    <w:sdtContent>
      <w:p w14:paraId="259FDAD8" w14:textId="5AEEA86F" w:rsidR="006644AF" w:rsidRDefault="006644AF">
        <w:pPr>
          <w:pStyle w:val="Footer"/>
        </w:pPr>
        <w:r>
          <w:fldChar w:fldCharType="begin"/>
        </w:r>
        <w:r>
          <w:instrText xml:space="preserve"> PAGE   \* MERGEFORMAT </w:instrText>
        </w:r>
        <w:r>
          <w:fldChar w:fldCharType="separate"/>
        </w:r>
        <w:r>
          <w:rPr>
            <w:noProof/>
          </w:rPr>
          <w:t>2</w:t>
        </w:r>
        <w:r>
          <w:rPr>
            <w:noProof/>
          </w:rPr>
          <w:fldChar w:fldCharType="end"/>
        </w:r>
      </w:p>
    </w:sdtContent>
  </w:sdt>
  <w:p w14:paraId="09EA51F2" w14:textId="77777777" w:rsidR="006644AF" w:rsidRDefault="006644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27CA0" w14:textId="77777777" w:rsidR="00507113" w:rsidRDefault="00507113">
      <w:r>
        <w:separator/>
      </w:r>
    </w:p>
  </w:footnote>
  <w:footnote w:type="continuationSeparator" w:id="0">
    <w:p w14:paraId="3A0D877A" w14:textId="77777777" w:rsidR="00507113" w:rsidRDefault="005071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1EF0F" w14:textId="625285C4" w:rsidR="00BF7F32" w:rsidRDefault="00BF7F32" w:rsidP="005326C0">
    <w:pPr>
      <w:pStyle w:val="Header"/>
    </w:pPr>
    <w:r>
      <w:rPr>
        <w:noProof/>
      </w:rPr>
      <w:drawing>
        <wp:inline distT="0" distB="0" distL="0" distR="0" wp14:anchorId="12E297C2" wp14:editId="41A27BA9">
          <wp:extent cx="6112510" cy="628650"/>
          <wp:effectExtent l="0" t="0" r="2540" b="0"/>
          <wp:docPr id="196769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231966" name=""/>
                  <pic:cNvPicPr/>
                </pic:nvPicPr>
                <pic:blipFill>
                  <a:blip r:embed="rId1"/>
                  <a:stretch>
                    <a:fillRect/>
                  </a:stretch>
                </pic:blipFill>
                <pic:spPr>
                  <a:xfrm>
                    <a:off x="0" y="0"/>
                    <a:ext cx="6112510" cy="628650"/>
                  </a:xfrm>
                  <a:prstGeom prst="rect">
                    <a:avLst/>
                  </a:prstGeom>
                </pic:spPr>
              </pic:pic>
            </a:graphicData>
          </a:graphic>
        </wp:inline>
      </w:drawing>
    </w:r>
  </w:p>
  <w:p w14:paraId="28EB9133" w14:textId="433E4DCB" w:rsidR="00BF7F32" w:rsidRPr="00FC7FE7" w:rsidRDefault="00BF7F32" w:rsidP="00FC7FE7">
    <w:pPr>
      <w:widowControl/>
      <w:autoSpaceDE/>
      <w:autoSpaceDN/>
      <w:spacing w:before="100" w:beforeAutospacing="1" w:after="100" w:afterAutospacing="1"/>
      <w:outlineLvl w:val="0"/>
      <w:rPr>
        <w:rFonts w:ascii="Segoe Fluent Icons" w:hAnsi="Segoe Fluent Icons"/>
        <w:b/>
        <w:bCs/>
        <w:color w:val="0070C0"/>
      </w:rPr>
    </w:pPr>
    <w:r w:rsidRPr="00FC7FE7">
      <w:rPr>
        <w:rFonts w:ascii="Segoe Fluent Icons" w:hAnsi="Segoe Fluent Icons"/>
        <w:b/>
        <w:bCs/>
        <w:color w:val="0070C0"/>
      </w:rPr>
      <w:t xml:space="preserve">OTSI </w:t>
    </w:r>
    <w:r w:rsidR="00FC7FE7" w:rsidRPr="00FC7FE7">
      <w:rPr>
        <w:rFonts w:ascii="Segoe Fluent Icons" w:eastAsia="Times New Roman" w:hAnsi="Segoe Fluent Icons" w:cstheme="minorHAnsi"/>
        <w:b/>
        <w:bCs/>
        <w:color w:val="0070C0"/>
        <w:kern w:val="36"/>
        <w:lang w:val="en-AU" w:eastAsia="en-AU"/>
      </w:rPr>
      <w:t>Submission</w:t>
    </w:r>
    <w:r w:rsidR="00FC7FE7">
      <w:rPr>
        <w:rFonts w:ascii="Cambria" w:eastAsia="Times New Roman" w:hAnsi="Cambria" w:cstheme="minorHAnsi"/>
        <w:b/>
        <w:bCs/>
        <w:color w:val="0070C0"/>
        <w:kern w:val="36"/>
        <w:lang w:val="en-AU" w:eastAsia="en-AU"/>
      </w:rPr>
      <w:t xml:space="preserve">: </w:t>
    </w:r>
    <w:r w:rsidR="00FC7FE7" w:rsidRPr="00FC7FE7">
      <w:rPr>
        <w:rFonts w:ascii="Segoe Fluent Icons" w:eastAsia="Times New Roman" w:hAnsi="Segoe Fluent Icons" w:cstheme="minorHAnsi"/>
        <w:b/>
        <w:bCs/>
        <w:color w:val="0070C0"/>
        <w:kern w:val="36"/>
        <w:lang w:val="en-AU" w:eastAsia="en-AU"/>
      </w:rPr>
      <w:t xml:space="preserve">NDIS Support Coordination </w:t>
    </w:r>
    <w:r w:rsidR="00FC7FE7">
      <w:rPr>
        <w:rFonts w:ascii="Cambria" w:eastAsia="Times New Roman" w:hAnsi="Cambria" w:cstheme="minorHAnsi"/>
        <w:b/>
        <w:bCs/>
        <w:color w:val="0070C0"/>
        <w:kern w:val="36"/>
        <w:lang w:val="en-AU" w:eastAsia="en-AU"/>
      </w:rPr>
      <w:t xml:space="preserve">&amp; </w:t>
    </w:r>
    <w:r w:rsidR="00FC7FE7" w:rsidRPr="00FC7FE7">
      <w:rPr>
        <w:rFonts w:ascii="Segoe Fluent Icons" w:eastAsia="Times New Roman" w:hAnsi="Segoe Fluent Icons" w:cstheme="minorHAnsi"/>
        <w:b/>
        <w:bCs/>
        <w:color w:val="0070C0"/>
        <w:kern w:val="36"/>
        <w:lang w:val="en-AU" w:eastAsia="en-AU"/>
      </w:rPr>
      <w:t>Connection (SCC) Consultation</w:t>
    </w:r>
    <w:r w:rsidR="00FC7FE7">
      <w:rPr>
        <w:rFonts w:ascii="Segoe Fluent Icons" w:eastAsia="Times New Roman" w:hAnsi="Segoe Fluent Icons" w:cstheme="minorHAnsi"/>
        <w:b/>
        <w:bCs/>
        <w:color w:val="0070C0"/>
        <w:kern w:val="36"/>
        <w:lang w:val="en-AU" w:eastAsia="en-AU"/>
      </w:rPr>
      <w:t xml:space="preserve"> </w:t>
    </w:r>
    <w:r w:rsidRPr="00FC7FE7">
      <w:rPr>
        <w:rFonts w:ascii="Segoe Fluent Icons" w:hAnsi="Segoe Fluent Icons"/>
        <w:b/>
        <w:bCs/>
        <w:color w:val="0070C0"/>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452C31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C81C1A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C013BD8"/>
    <w:multiLevelType w:val="multilevel"/>
    <w:tmpl w:val="397A8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507C12"/>
    <w:multiLevelType w:val="hybridMultilevel"/>
    <w:tmpl w:val="3CC8542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E2E27EE"/>
    <w:multiLevelType w:val="multilevel"/>
    <w:tmpl w:val="25C07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5D4AB8"/>
    <w:multiLevelType w:val="multilevel"/>
    <w:tmpl w:val="6D62C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3E76C9"/>
    <w:multiLevelType w:val="multilevel"/>
    <w:tmpl w:val="C082AD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571FFE"/>
    <w:multiLevelType w:val="multilevel"/>
    <w:tmpl w:val="36CED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7F0A36"/>
    <w:multiLevelType w:val="hybridMultilevel"/>
    <w:tmpl w:val="D48EEB7C"/>
    <w:lvl w:ilvl="0" w:tplc="8C18EC7A">
      <w:start w:val="1"/>
      <w:numFmt w:val="bullet"/>
      <w:lvlText w:val="•"/>
      <w:lvlJc w:val="left"/>
      <w:pPr>
        <w:ind w:left="720" w:hanging="360"/>
      </w:pPr>
    </w:lvl>
    <w:lvl w:ilvl="1" w:tplc="A0AA46A0">
      <w:numFmt w:val="decimal"/>
      <w:lvlText w:val=""/>
      <w:lvlJc w:val="left"/>
    </w:lvl>
    <w:lvl w:ilvl="2" w:tplc="E8547D56">
      <w:numFmt w:val="decimal"/>
      <w:lvlText w:val=""/>
      <w:lvlJc w:val="left"/>
    </w:lvl>
    <w:lvl w:ilvl="3" w:tplc="C0FAF052">
      <w:numFmt w:val="decimal"/>
      <w:lvlText w:val=""/>
      <w:lvlJc w:val="left"/>
    </w:lvl>
    <w:lvl w:ilvl="4" w:tplc="2AD44D00">
      <w:numFmt w:val="decimal"/>
      <w:lvlText w:val=""/>
      <w:lvlJc w:val="left"/>
    </w:lvl>
    <w:lvl w:ilvl="5" w:tplc="7B505164">
      <w:numFmt w:val="decimal"/>
      <w:lvlText w:val=""/>
      <w:lvlJc w:val="left"/>
    </w:lvl>
    <w:lvl w:ilvl="6" w:tplc="F7C04720">
      <w:numFmt w:val="decimal"/>
      <w:lvlText w:val=""/>
      <w:lvlJc w:val="left"/>
    </w:lvl>
    <w:lvl w:ilvl="7" w:tplc="0F1CE7E0">
      <w:numFmt w:val="decimal"/>
      <w:lvlText w:val=""/>
      <w:lvlJc w:val="left"/>
    </w:lvl>
    <w:lvl w:ilvl="8" w:tplc="02CE1402">
      <w:numFmt w:val="decimal"/>
      <w:lvlText w:val=""/>
      <w:lvlJc w:val="left"/>
    </w:lvl>
  </w:abstractNum>
  <w:abstractNum w:abstractNumId="9" w15:restartNumberingAfterBreak="0">
    <w:nsid w:val="253C2A63"/>
    <w:multiLevelType w:val="multilevel"/>
    <w:tmpl w:val="8730B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C7629E"/>
    <w:multiLevelType w:val="multilevel"/>
    <w:tmpl w:val="022CC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724A1E"/>
    <w:multiLevelType w:val="multilevel"/>
    <w:tmpl w:val="390E4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444B73"/>
    <w:multiLevelType w:val="multilevel"/>
    <w:tmpl w:val="8334F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E8A212F"/>
    <w:multiLevelType w:val="multilevel"/>
    <w:tmpl w:val="5EB4A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161776"/>
    <w:multiLevelType w:val="multilevel"/>
    <w:tmpl w:val="95625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824324"/>
    <w:multiLevelType w:val="multilevel"/>
    <w:tmpl w:val="F92CC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0F03A5"/>
    <w:multiLevelType w:val="hybridMultilevel"/>
    <w:tmpl w:val="CE88D73C"/>
    <w:lvl w:ilvl="0" w:tplc="B016AE42">
      <w:start w:val="4"/>
      <w:numFmt w:val="bullet"/>
      <w:lvlText w:val="-"/>
      <w:lvlJc w:val="left"/>
      <w:pPr>
        <w:ind w:left="1516" w:hanging="360"/>
      </w:pPr>
      <w:rPr>
        <w:rFonts w:ascii="Calibri" w:eastAsia="Segoe UI" w:hAnsi="Calibri" w:cs="Calibri" w:hint="default"/>
      </w:rPr>
    </w:lvl>
    <w:lvl w:ilvl="1" w:tplc="0C090003" w:tentative="1">
      <w:start w:val="1"/>
      <w:numFmt w:val="bullet"/>
      <w:lvlText w:val="o"/>
      <w:lvlJc w:val="left"/>
      <w:pPr>
        <w:ind w:left="2236" w:hanging="360"/>
      </w:pPr>
      <w:rPr>
        <w:rFonts w:ascii="Courier New" w:hAnsi="Courier New" w:cs="Courier New" w:hint="default"/>
      </w:rPr>
    </w:lvl>
    <w:lvl w:ilvl="2" w:tplc="0C090005" w:tentative="1">
      <w:start w:val="1"/>
      <w:numFmt w:val="bullet"/>
      <w:lvlText w:val=""/>
      <w:lvlJc w:val="left"/>
      <w:pPr>
        <w:ind w:left="2956" w:hanging="360"/>
      </w:pPr>
      <w:rPr>
        <w:rFonts w:ascii="Wingdings" w:hAnsi="Wingdings" w:hint="default"/>
      </w:rPr>
    </w:lvl>
    <w:lvl w:ilvl="3" w:tplc="0C090001" w:tentative="1">
      <w:start w:val="1"/>
      <w:numFmt w:val="bullet"/>
      <w:lvlText w:val=""/>
      <w:lvlJc w:val="left"/>
      <w:pPr>
        <w:ind w:left="3676" w:hanging="360"/>
      </w:pPr>
      <w:rPr>
        <w:rFonts w:ascii="Symbol" w:hAnsi="Symbol" w:hint="default"/>
      </w:rPr>
    </w:lvl>
    <w:lvl w:ilvl="4" w:tplc="0C090003" w:tentative="1">
      <w:start w:val="1"/>
      <w:numFmt w:val="bullet"/>
      <w:lvlText w:val="o"/>
      <w:lvlJc w:val="left"/>
      <w:pPr>
        <w:ind w:left="4396" w:hanging="360"/>
      </w:pPr>
      <w:rPr>
        <w:rFonts w:ascii="Courier New" w:hAnsi="Courier New" w:cs="Courier New" w:hint="default"/>
      </w:rPr>
    </w:lvl>
    <w:lvl w:ilvl="5" w:tplc="0C090005" w:tentative="1">
      <w:start w:val="1"/>
      <w:numFmt w:val="bullet"/>
      <w:lvlText w:val=""/>
      <w:lvlJc w:val="left"/>
      <w:pPr>
        <w:ind w:left="5116" w:hanging="360"/>
      </w:pPr>
      <w:rPr>
        <w:rFonts w:ascii="Wingdings" w:hAnsi="Wingdings" w:hint="default"/>
      </w:rPr>
    </w:lvl>
    <w:lvl w:ilvl="6" w:tplc="0C090001" w:tentative="1">
      <w:start w:val="1"/>
      <w:numFmt w:val="bullet"/>
      <w:lvlText w:val=""/>
      <w:lvlJc w:val="left"/>
      <w:pPr>
        <w:ind w:left="5836" w:hanging="360"/>
      </w:pPr>
      <w:rPr>
        <w:rFonts w:ascii="Symbol" w:hAnsi="Symbol" w:hint="default"/>
      </w:rPr>
    </w:lvl>
    <w:lvl w:ilvl="7" w:tplc="0C090003" w:tentative="1">
      <w:start w:val="1"/>
      <w:numFmt w:val="bullet"/>
      <w:lvlText w:val="o"/>
      <w:lvlJc w:val="left"/>
      <w:pPr>
        <w:ind w:left="6556" w:hanging="360"/>
      </w:pPr>
      <w:rPr>
        <w:rFonts w:ascii="Courier New" w:hAnsi="Courier New" w:cs="Courier New" w:hint="default"/>
      </w:rPr>
    </w:lvl>
    <w:lvl w:ilvl="8" w:tplc="0C090005" w:tentative="1">
      <w:start w:val="1"/>
      <w:numFmt w:val="bullet"/>
      <w:lvlText w:val=""/>
      <w:lvlJc w:val="left"/>
      <w:pPr>
        <w:ind w:left="7276" w:hanging="360"/>
      </w:pPr>
      <w:rPr>
        <w:rFonts w:ascii="Wingdings" w:hAnsi="Wingdings" w:hint="default"/>
      </w:rPr>
    </w:lvl>
  </w:abstractNum>
  <w:abstractNum w:abstractNumId="17" w15:restartNumberingAfterBreak="0">
    <w:nsid w:val="378E7FFD"/>
    <w:multiLevelType w:val="hybridMultilevel"/>
    <w:tmpl w:val="16D8B0EA"/>
    <w:lvl w:ilvl="0" w:tplc="1CD4341C">
      <w:start w:val="1"/>
      <w:numFmt w:val="decimal"/>
      <w:lvlText w:val="%1."/>
      <w:lvlJc w:val="left"/>
      <w:pPr>
        <w:ind w:left="720" w:hanging="400"/>
      </w:pPr>
    </w:lvl>
    <w:lvl w:ilvl="1" w:tplc="0C090001">
      <w:start w:val="1"/>
      <w:numFmt w:val="bullet"/>
      <w:lvlText w:val=""/>
      <w:lvlJc w:val="left"/>
      <w:pPr>
        <w:ind w:left="360" w:hanging="360"/>
      </w:pPr>
      <w:rPr>
        <w:rFonts w:ascii="Symbol" w:hAnsi="Symbol" w:hint="default"/>
      </w:rPr>
    </w:lvl>
    <w:lvl w:ilvl="2" w:tplc="0C090001">
      <w:start w:val="1"/>
      <w:numFmt w:val="bullet"/>
      <w:lvlText w:val=""/>
      <w:lvlJc w:val="left"/>
      <w:pPr>
        <w:ind w:left="360" w:hanging="360"/>
      </w:pPr>
      <w:rPr>
        <w:rFonts w:ascii="Symbol" w:hAnsi="Symbol" w:hint="default"/>
      </w:rPr>
    </w:lvl>
    <w:lvl w:ilvl="3" w:tplc="49A6B3F2">
      <w:numFmt w:val="decimal"/>
      <w:lvlText w:val=""/>
      <w:lvlJc w:val="left"/>
    </w:lvl>
    <w:lvl w:ilvl="4" w:tplc="CB063900">
      <w:numFmt w:val="decimal"/>
      <w:lvlText w:val=""/>
      <w:lvlJc w:val="left"/>
    </w:lvl>
    <w:lvl w:ilvl="5" w:tplc="3038289C">
      <w:numFmt w:val="decimal"/>
      <w:lvlText w:val=""/>
      <w:lvlJc w:val="left"/>
    </w:lvl>
    <w:lvl w:ilvl="6" w:tplc="49408926">
      <w:numFmt w:val="decimal"/>
      <w:lvlText w:val=""/>
      <w:lvlJc w:val="left"/>
    </w:lvl>
    <w:lvl w:ilvl="7" w:tplc="17D005AE">
      <w:numFmt w:val="decimal"/>
      <w:lvlText w:val=""/>
      <w:lvlJc w:val="left"/>
    </w:lvl>
    <w:lvl w:ilvl="8" w:tplc="3CDE5E66">
      <w:numFmt w:val="decimal"/>
      <w:lvlText w:val=""/>
      <w:lvlJc w:val="left"/>
    </w:lvl>
  </w:abstractNum>
  <w:abstractNum w:abstractNumId="18" w15:restartNumberingAfterBreak="0">
    <w:nsid w:val="39A80E5E"/>
    <w:multiLevelType w:val="multilevel"/>
    <w:tmpl w:val="B5B0D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033FD8"/>
    <w:multiLevelType w:val="multilevel"/>
    <w:tmpl w:val="FE56C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CB0680"/>
    <w:multiLevelType w:val="multilevel"/>
    <w:tmpl w:val="3E7ED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400E0A"/>
    <w:multiLevelType w:val="multilevel"/>
    <w:tmpl w:val="6E2C1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ED5353"/>
    <w:multiLevelType w:val="multilevel"/>
    <w:tmpl w:val="DF6A5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DB5CD6"/>
    <w:multiLevelType w:val="multilevel"/>
    <w:tmpl w:val="73AE7B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44B2F6C"/>
    <w:multiLevelType w:val="multilevel"/>
    <w:tmpl w:val="DB1C4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6B7116"/>
    <w:multiLevelType w:val="multilevel"/>
    <w:tmpl w:val="5E6858A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E347742"/>
    <w:multiLevelType w:val="hybridMultilevel"/>
    <w:tmpl w:val="15AE2834"/>
    <w:lvl w:ilvl="0" w:tplc="7966DCF2">
      <w:start w:val="388"/>
      <w:numFmt w:val="bullet"/>
      <w:lvlText w:val="-"/>
      <w:lvlJc w:val="left"/>
      <w:pPr>
        <w:ind w:left="1520" w:hanging="400"/>
      </w:pPr>
      <w:rPr>
        <w:rFonts w:ascii="Calibri" w:eastAsia="Calibri" w:hAnsi="Calibri" w:cs="Calibri"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4E393651"/>
    <w:multiLevelType w:val="multilevel"/>
    <w:tmpl w:val="1550F20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41D33A4"/>
    <w:multiLevelType w:val="multilevel"/>
    <w:tmpl w:val="BAF85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F202A6"/>
    <w:multiLevelType w:val="multilevel"/>
    <w:tmpl w:val="717C2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E0138B"/>
    <w:multiLevelType w:val="multilevel"/>
    <w:tmpl w:val="E3AE2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D0B45A9"/>
    <w:multiLevelType w:val="multilevel"/>
    <w:tmpl w:val="45540C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0BF4B4D"/>
    <w:multiLevelType w:val="multilevel"/>
    <w:tmpl w:val="21C84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3FB4FD7"/>
    <w:multiLevelType w:val="multilevel"/>
    <w:tmpl w:val="56C4FD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D4A0E4C"/>
    <w:multiLevelType w:val="hybridMultilevel"/>
    <w:tmpl w:val="6476624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6F805131"/>
    <w:multiLevelType w:val="multilevel"/>
    <w:tmpl w:val="2E4EE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6DF1196"/>
    <w:multiLevelType w:val="multilevel"/>
    <w:tmpl w:val="C4D6DF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87730FF"/>
    <w:multiLevelType w:val="multilevel"/>
    <w:tmpl w:val="BABA0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8746112">
    <w:abstractNumId w:val="13"/>
  </w:num>
  <w:num w:numId="2" w16cid:durableId="92821900">
    <w:abstractNumId w:val="20"/>
  </w:num>
  <w:num w:numId="3" w16cid:durableId="516888312">
    <w:abstractNumId w:val="2"/>
  </w:num>
  <w:num w:numId="4" w16cid:durableId="719717663">
    <w:abstractNumId w:val="35"/>
  </w:num>
  <w:num w:numId="5" w16cid:durableId="49693655">
    <w:abstractNumId w:val="11"/>
  </w:num>
  <w:num w:numId="6" w16cid:durableId="693389320">
    <w:abstractNumId w:val="22"/>
  </w:num>
  <w:num w:numId="7" w16cid:durableId="1431775293">
    <w:abstractNumId w:val="7"/>
  </w:num>
  <w:num w:numId="8" w16cid:durableId="1223633497">
    <w:abstractNumId w:val="19"/>
  </w:num>
  <w:num w:numId="9" w16cid:durableId="958605537">
    <w:abstractNumId w:val="24"/>
  </w:num>
  <w:num w:numId="10" w16cid:durableId="780688998">
    <w:abstractNumId w:val="1"/>
  </w:num>
  <w:num w:numId="11" w16cid:durableId="988552543">
    <w:abstractNumId w:val="0"/>
  </w:num>
  <w:num w:numId="12" w16cid:durableId="442265077">
    <w:abstractNumId w:val="9"/>
  </w:num>
  <w:num w:numId="13" w16cid:durableId="1991709245">
    <w:abstractNumId w:val="4"/>
  </w:num>
  <w:num w:numId="14" w16cid:durableId="736322919">
    <w:abstractNumId w:val="29"/>
  </w:num>
  <w:num w:numId="15" w16cid:durableId="1557736828">
    <w:abstractNumId w:val="30"/>
  </w:num>
  <w:num w:numId="16" w16cid:durableId="1291327210">
    <w:abstractNumId w:val="14"/>
  </w:num>
  <w:num w:numId="17" w16cid:durableId="842206524">
    <w:abstractNumId w:val="15"/>
  </w:num>
  <w:num w:numId="18" w16cid:durableId="132599432">
    <w:abstractNumId w:val="36"/>
  </w:num>
  <w:num w:numId="19" w16cid:durableId="2121029167">
    <w:abstractNumId w:val="37"/>
  </w:num>
  <w:num w:numId="20" w16cid:durableId="545801055">
    <w:abstractNumId w:val="5"/>
  </w:num>
  <w:num w:numId="21" w16cid:durableId="1735196974">
    <w:abstractNumId w:val="34"/>
  </w:num>
  <w:num w:numId="22" w16cid:durableId="176316769">
    <w:abstractNumId w:val="6"/>
  </w:num>
  <w:num w:numId="23" w16cid:durableId="648822355">
    <w:abstractNumId w:val="33"/>
  </w:num>
  <w:num w:numId="24" w16cid:durableId="1195533307">
    <w:abstractNumId w:val="10"/>
  </w:num>
  <w:num w:numId="25" w16cid:durableId="126630643">
    <w:abstractNumId w:val="28"/>
  </w:num>
  <w:num w:numId="26" w16cid:durableId="1177386221">
    <w:abstractNumId w:val="12"/>
  </w:num>
  <w:num w:numId="27" w16cid:durableId="1559390093">
    <w:abstractNumId w:val="31"/>
  </w:num>
  <w:num w:numId="28" w16cid:durableId="1403720082">
    <w:abstractNumId w:val="27"/>
  </w:num>
  <w:num w:numId="29" w16cid:durableId="966475414">
    <w:abstractNumId w:val="25"/>
  </w:num>
  <w:num w:numId="30" w16cid:durableId="1631134369">
    <w:abstractNumId w:val="18"/>
  </w:num>
  <w:num w:numId="31" w16cid:durableId="222102478">
    <w:abstractNumId w:val="32"/>
  </w:num>
  <w:num w:numId="32" w16cid:durableId="1875844811">
    <w:abstractNumId w:val="8"/>
    <w:lvlOverride w:ilvl="0">
      <w:startOverride w:val="1"/>
    </w:lvlOverride>
  </w:num>
  <w:num w:numId="33" w16cid:durableId="110826983">
    <w:abstractNumId w:val="17"/>
  </w:num>
  <w:num w:numId="34" w16cid:durableId="1932885794">
    <w:abstractNumId w:val="3"/>
  </w:num>
  <w:num w:numId="35" w16cid:durableId="579413447">
    <w:abstractNumId w:val="23"/>
  </w:num>
  <w:num w:numId="36" w16cid:durableId="972060318">
    <w:abstractNumId w:val="16"/>
  </w:num>
  <w:num w:numId="37" w16cid:durableId="1945575419">
    <w:abstractNumId w:val="26"/>
  </w:num>
  <w:num w:numId="38" w16cid:durableId="85618720">
    <w:abstractNumId w:val="2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875"/>
    <w:rsid w:val="00114608"/>
    <w:rsid w:val="00124115"/>
    <w:rsid w:val="00130046"/>
    <w:rsid w:val="0015616E"/>
    <w:rsid w:val="00166B13"/>
    <w:rsid w:val="001957E9"/>
    <w:rsid w:val="001B5581"/>
    <w:rsid w:val="001D0187"/>
    <w:rsid w:val="0028370D"/>
    <w:rsid w:val="00314FB3"/>
    <w:rsid w:val="00345F75"/>
    <w:rsid w:val="003D42B9"/>
    <w:rsid w:val="003E175D"/>
    <w:rsid w:val="003E33BA"/>
    <w:rsid w:val="00423B9F"/>
    <w:rsid w:val="00436101"/>
    <w:rsid w:val="004E4029"/>
    <w:rsid w:val="00507113"/>
    <w:rsid w:val="005326C0"/>
    <w:rsid w:val="00556D0C"/>
    <w:rsid w:val="005B694E"/>
    <w:rsid w:val="005E56F1"/>
    <w:rsid w:val="006049AB"/>
    <w:rsid w:val="006205E7"/>
    <w:rsid w:val="006364F1"/>
    <w:rsid w:val="006644AF"/>
    <w:rsid w:val="00671A80"/>
    <w:rsid w:val="00677391"/>
    <w:rsid w:val="006964C6"/>
    <w:rsid w:val="006D0FA6"/>
    <w:rsid w:val="006F3007"/>
    <w:rsid w:val="00705681"/>
    <w:rsid w:val="00762278"/>
    <w:rsid w:val="00775BD1"/>
    <w:rsid w:val="007858B7"/>
    <w:rsid w:val="007C4051"/>
    <w:rsid w:val="008268E3"/>
    <w:rsid w:val="008309C0"/>
    <w:rsid w:val="00854316"/>
    <w:rsid w:val="00883F0D"/>
    <w:rsid w:val="008E6216"/>
    <w:rsid w:val="008F3DF5"/>
    <w:rsid w:val="00920328"/>
    <w:rsid w:val="009713B2"/>
    <w:rsid w:val="009963CB"/>
    <w:rsid w:val="009F5467"/>
    <w:rsid w:val="00A46276"/>
    <w:rsid w:val="00B31A80"/>
    <w:rsid w:val="00B3781E"/>
    <w:rsid w:val="00B7722B"/>
    <w:rsid w:val="00BC43A4"/>
    <w:rsid w:val="00BF6BDF"/>
    <w:rsid w:val="00BF7F32"/>
    <w:rsid w:val="00C008A3"/>
    <w:rsid w:val="00C0279B"/>
    <w:rsid w:val="00C5310B"/>
    <w:rsid w:val="00C557F7"/>
    <w:rsid w:val="00C714FC"/>
    <w:rsid w:val="00C742C1"/>
    <w:rsid w:val="00C74AFA"/>
    <w:rsid w:val="00C84C54"/>
    <w:rsid w:val="00CB3C17"/>
    <w:rsid w:val="00CD304E"/>
    <w:rsid w:val="00CF6C62"/>
    <w:rsid w:val="00D26EA1"/>
    <w:rsid w:val="00D27D6A"/>
    <w:rsid w:val="00D36ED9"/>
    <w:rsid w:val="00DF6339"/>
    <w:rsid w:val="00EB4F25"/>
    <w:rsid w:val="00EB5C8A"/>
    <w:rsid w:val="00EE03CE"/>
    <w:rsid w:val="00F058D4"/>
    <w:rsid w:val="00F10875"/>
    <w:rsid w:val="00F53295"/>
    <w:rsid w:val="00F54ED0"/>
    <w:rsid w:val="00FA55EB"/>
    <w:rsid w:val="00FC7F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CC8BF"/>
  <w15:docId w15:val="{5CF067B7-8CC4-4C4B-AFC5-F2C151531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608"/>
    <w:rPr>
      <w:rFonts w:ascii="Segoe UI" w:eastAsia="Segoe UI" w:hAnsi="Segoe UI" w:cs="Segoe UI"/>
    </w:rPr>
  </w:style>
  <w:style w:type="paragraph" w:styleId="Heading1">
    <w:name w:val="heading 1"/>
    <w:basedOn w:val="Normal"/>
    <w:uiPriority w:val="9"/>
    <w:qFormat/>
    <w:rsid w:val="00436101"/>
    <w:pPr>
      <w:widowControl/>
      <w:autoSpaceDE/>
      <w:autoSpaceDN/>
      <w:spacing w:before="100" w:beforeAutospacing="1" w:after="100" w:afterAutospacing="1"/>
      <w:outlineLvl w:val="0"/>
    </w:pPr>
    <w:rPr>
      <w:rFonts w:ascii="Arial" w:eastAsia="Times New Roman" w:hAnsi="Arial" w:cs="Arial"/>
      <w:b/>
      <w:bCs/>
      <w:color w:val="0070C0"/>
      <w:sz w:val="36"/>
      <w:szCs w:val="36"/>
      <w:lang w:val="en-AU" w:eastAsia="en-AU"/>
    </w:rPr>
  </w:style>
  <w:style w:type="paragraph" w:styleId="Heading2">
    <w:name w:val="heading 2"/>
    <w:basedOn w:val="Normal"/>
    <w:link w:val="Heading2Char"/>
    <w:uiPriority w:val="9"/>
    <w:unhideWhenUsed/>
    <w:qFormat/>
    <w:rsid w:val="00677391"/>
    <w:pPr>
      <w:spacing w:before="100" w:beforeAutospacing="1" w:after="100" w:afterAutospacing="1"/>
      <w:outlineLvl w:val="1"/>
    </w:pPr>
    <w:rPr>
      <w:rFonts w:ascii="Arial" w:eastAsia="Times New Roman" w:hAnsi="Arial" w:cs="Arial"/>
      <w:b/>
      <w:bCs/>
      <w:color w:val="002060"/>
      <w:kern w:val="36"/>
      <w:sz w:val="36"/>
      <w:szCs w:val="36"/>
    </w:rPr>
  </w:style>
  <w:style w:type="paragraph" w:styleId="Heading3">
    <w:name w:val="heading 3"/>
    <w:basedOn w:val="Normal"/>
    <w:link w:val="Heading3Char"/>
    <w:uiPriority w:val="9"/>
    <w:unhideWhenUsed/>
    <w:qFormat/>
    <w:rsid w:val="00C5310B"/>
    <w:pPr>
      <w:spacing w:before="100" w:beforeAutospacing="1" w:after="100" w:afterAutospacing="1"/>
      <w:ind w:left="720"/>
      <w:outlineLvl w:val="2"/>
    </w:pPr>
    <w:rPr>
      <w:rFonts w:ascii="Arial" w:eastAsia="Times New Roman" w:hAnsi="Arial" w:cs="Arial"/>
      <w:b/>
      <w:bCs/>
      <w:color w:val="0070C0"/>
      <w:sz w:val="36"/>
      <w:szCs w:val="36"/>
      <w:lang w:eastAsia="en-AU"/>
    </w:rPr>
  </w:style>
  <w:style w:type="paragraph" w:styleId="Heading4">
    <w:name w:val="heading 4"/>
    <w:basedOn w:val="Normal"/>
    <w:next w:val="Normal"/>
    <w:link w:val="Heading4Char"/>
    <w:uiPriority w:val="9"/>
    <w:unhideWhenUsed/>
    <w:qFormat/>
    <w:rsid w:val="00C0279B"/>
    <w:pPr>
      <w:widowControl/>
      <w:autoSpaceDE/>
      <w:autoSpaceDN/>
      <w:spacing w:before="100" w:beforeAutospacing="1" w:after="100" w:afterAutospacing="1"/>
      <w:outlineLvl w:val="3"/>
    </w:pPr>
    <w:rPr>
      <w:rFonts w:asciiTheme="minorHAnsi" w:eastAsia="Arial" w:hAnsiTheme="minorHAnsi" w:cstheme="minorHAnsi"/>
      <w:b/>
      <w:bCs/>
      <w:color w:val="0070C0"/>
      <w:sz w:val="28"/>
      <w:szCs w:val="28"/>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qFormat/>
    <w:pPr>
      <w:ind w:left="1156" w:hanging="361"/>
    </w:pPr>
    <w:rPr>
      <w:rFonts w:ascii="Calibri" w:eastAsia="Calibri" w:hAnsi="Calibri" w:cs="Calibri"/>
    </w:r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9713B2"/>
    <w:pPr>
      <w:tabs>
        <w:tab w:val="center" w:pos="4513"/>
        <w:tab w:val="right" w:pos="9026"/>
      </w:tabs>
    </w:pPr>
  </w:style>
  <w:style w:type="character" w:customStyle="1" w:styleId="HeaderChar">
    <w:name w:val="Header Char"/>
    <w:basedOn w:val="DefaultParagraphFont"/>
    <w:link w:val="Header"/>
    <w:uiPriority w:val="99"/>
    <w:rsid w:val="009713B2"/>
    <w:rPr>
      <w:rFonts w:ascii="Segoe UI" w:eastAsia="Segoe UI" w:hAnsi="Segoe UI" w:cs="Segoe UI"/>
    </w:rPr>
  </w:style>
  <w:style w:type="paragraph" w:styleId="Footer">
    <w:name w:val="footer"/>
    <w:basedOn w:val="Normal"/>
    <w:link w:val="FooterChar"/>
    <w:uiPriority w:val="99"/>
    <w:unhideWhenUsed/>
    <w:rsid w:val="009713B2"/>
    <w:pPr>
      <w:tabs>
        <w:tab w:val="center" w:pos="4513"/>
        <w:tab w:val="right" w:pos="9026"/>
      </w:tabs>
    </w:pPr>
  </w:style>
  <w:style w:type="character" w:customStyle="1" w:styleId="FooterChar">
    <w:name w:val="Footer Char"/>
    <w:basedOn w:val="DefaultParagraphFont"/>
    <w:link w:val="Footer"/>
    <w:uiPriority w:val="99"/>
    <w:rsid w:val="009713B2"/>
    <w:rPr>
      <w:rFonts w:ascii="Segoe UI" w:eastAsia="Segoe UI" w:hAnsi="Segoe UI" w:cs="Segoe UI"/>
    </w:rPr>
  </w:style>
  <w:style w:type="character" w:customStyle="1" w:styleId="Heading4Char">
    <w:name w:val="Heading 4 Char"/>
    <w:basedOn w:val="DefaultParagraphFont"/>
    <w:link w:val="Heading4"/>
    <w:uiPriority w:val="9"/>
    <w:rsid w:val="00C0279B"/>
    <w:rPr>
      <w:rFonts w:eastAsia="Arial" w:cstheme="minorHAnsi"/>
      <w:b/>
      <w:bCs/>
      <w:color w:val="0070C0"/>
      <w:sz w:val="28"/>
      <w:szCs w:val="28"/>
      <w:lang w:val="en-AU" w:eastAsia="en-AU"/>
    </w:rPr>
  </w:style>
  <w:style w:type="character" w:styleId="CommentReference">
    <w:name w:val="annotation reference"/>
    <w:basedOn w:val="DefaultParagraphFont"/>
    <w:uiPriority w:val="99"/>
    <w:semiHidden/>
    <w:unhideWhenUsed/>
    <w:rsid w:val="00CD304E"/>
    <w:rPr>
      <w:sz w:val="16"/>
      <w:szCs w:val="16"/>
    </w:rPr>
  </w:style>
  <w:style w:type="paragraph" w:styleId="CommentText">
    <w:name w:val="annotation text"/>
    <w:basedOn w:val="Normal"/>
    <w:link w:val="CommentTextChar"/>
    <w:uiPriority w:val="99"/>
    <w:unhideWhenUsed/>
    <w:rsid w:val="00CD304E"/>
    <w:pPr>
      <w:widowControl/>
      <w:autoSpaceDE/>
      <w:autoSpaceDN/>
      <w:spacing w:after="160"/>
    </w:pPr>
    <w:rPr>
      <w:rFonts w:asciiTheme="minorHAnsi" w:eastAsiaTheme="minorHAnsi" w:hAnsiTheme="minorHAnsi" w:cstheme="minorBidi"/>
      <w:kern w:val="2"/>
      <w:sz w:val="20"/>
      <w:szCs w:val="20"/>
      <w:lang w:val="en-AU"/>
      <w14:ligatures w14:val="standardContextual"/>
    </w:rPr>
  </w:style>
  <w:style w:type="character" w:customStyle="1" w:styleId="CommentTextChar">
    <w:name w:val="Comment Text Char"/>
    <w:basedOn w:val="DefaultParagraphFont"/>
    <w:link w:val="CommentText"/>
    <w:uiPriority w:val="99"/>
    <w:rsid w:val="00CD304E"/>
    <w:rPr>
      <w:kern w:val="2"/>
      <w:sz w:val="20"/>
      <w:szCs w:val="20"/>
      <w:lang w:val="en-AU"/>
      <w14:ligatures w14:val="standardContextual"/>
    </w:rPr>
  </w:style>
  <w:style w:type="character" w:customStyle="1" w:styleId="Heading3Char">
    <w:name w:val="Heading 3 Char"/>
    <w:basedOn w:val="DefaultParagraphFont"/>
    <w:link w:val="Heading3"/>
    <w:uiPriority w:val="9"/>
    <w:rsid w:val="00C5310B"/>
    <w:rPr>
      <w:rFonts w:ascii="Arial" w:eastAsia="Times New Roman" w:hAnsi="Arial" w:cs="Arial"/>
      <w:b/>
      <w:bCs/>
      <w:color w:val="0070C0"/>
      <w:sz w:val="36"/>
      <w:szCs w:val="36"/>
      <w:lang w:eastAsia="en-AU"/>
    </w:rPr>
  </w:style>
  <w:style w:type="character" w:customStyle="1" w:styleId="BodyTextChar">
    <w:name w:val="Body Text Char"/>
    <w:basedOn w:val="DefaultParagraphFont"/>
    <w:link w:val="BodyText"/>
    <w:uiPriority w:val="1"/>
    <w:rsid w:val="00920328"/>
    <w:rPr>
      <w:rFonts w:ascii="Segoe UI" w:eastAsia="Segoe UI" w:hAnsi="Segoe UI" w:cs="Segoe UI"/>
    </w:rPr>
  </w:style>
  <w:style w:type="paragraph" w:styleId="NormalWeb">
    <w:name w:val="Normal (Web)"/>
    <w:basedOn w:val="Normal"/>
    <w:uiPriority w:val="99"/>
    <w:unhideWhenUsed/>
    <w:rsid w:val="00920328"/>
    <w:pPr>
      <w:widowControl/>
      <w:autoSpaceDE/>
      <w:autoSpaceDN/>
      <w:spacing w:before="100" w:beforeAutospacing="1" w:after="100" w:afterAutospacing="1"/>
    </w:pPr>
    <w:rPr>
      <w:rFonts w:ascii="Times New Roman" w:eastAsia="Times New Roman" w:hAnsi="Times New Roman" w:cs="Times New Roman"/>
      <w:sz w:val="24"/>
      <w:szCs w:val="24"/>
      <w:lang w:val="en-AU" w:eastAsia="en-AU"/>
    </w:rPr>
  </w:style>
  <w:style w:type="character" w:styleId="Strong">
    <w:name w:val="Strong"/>
    <w:basedOn w:val="DefaultParagraphFont"/>
    <w:uiPriority w:val="22"/>
    <w:qFormat/>
    <w:rsid w:val="00920328"/>
    <w:rPr>
      <w:b/>
      <w:bCs/>
    </w:rPr>
  </w:style>
  <w:style w:type="character" w:customStyle="1" w:styleId="Heading2Char">
    <w:name w:val="Heading 2 Char"/>
    <w:basedOn w:val="DefaultParagraphFont"/>
    <w:link w:val="Heading2"/>
    <w:uiPriority w:val="9"/>
    <w:rsid w:val="00677391"/>
    <w:rPr>
      <w:rFonts w:ascii="Arial" w:eastAsia="Times New Roman" w:hAnsi="Arial" w:cs="Arial"/>
      <w:b/>
      <w:bCs/>
      <w:color w:val="002060"/>
      <w:kern w:val="36"/>
      <w:sz w:val="36"/>
      <w:szCs w:val="36"/>
    </w:rPr>
  </w:style>
  <w:style w:type="paragraph" w:styleId="CommentSubject">
    <w:name w:val="annotation subject"/>
    <w:basedOn w:val="CommentText"/>
    <w:next w:val="CommentText"/>
    <w:link w:val="CommentSubjectChar"/>
    <w:uiPriority w:val="99"/>
    <w:semiHidden/>
    <w:unhideWhenUsed/>
    <w:rsid w:val="00BC43A4"/>
    <w:pPr>
      <w:widowControl w:val="0"/>
      <w:autoSpaceDE w:val="0"/>
      <w:autoSpaceDN w:val="0"/>
      <w:spacing w:after="0"/>
    </w:pPr>
    <w:rPr>
      <w:rFonts w:ascii="Segoe UI" w:eastAsia="Segoe UI" w:hAnsi="Segoe UI" w:cs="Segoe UI"/>
      <w:b/>
      <w:bCs/>
      <w:kern w:val="0"/>
      <w:lang w:val="en-US"/>
      <w14:ligatures w14:val="none"/>
    </w:rPr>
  </w:style>
  <w:style w:type="character" w:customStyle="1" w:styleId="CommentSubjectChar">
    <w:name w:val="Comment Subject Char"/>
    <w:basedOn w:val="CommentTextChar"/>
    <w:link w:val="CommentSubject"/>
    <w:uiPriority w:val="99"/>
    <w:semiHidden/>
    <w:rsid w:val="00BC43A4"/>
    <w:rPr>
      <w:rFonts w:ascii="Segoe UI" w:eastAsia="Segoe UI" w:hAnsi="Segoe UI" w:cs="Segoe UI"/>
      <w:b/>
      <w:bCs/>
      <w:kern w:val="2"/>
      <w:sz w:val="20"/>
      <w:szCs w:val="20"/>
      <w:lang w:val="en-AU"/>
      <w14:ligatures w14:val="standardContextual"/>
    </w:rPr>
  </w:style>
  <w:style w:type="paragraph" w:styleId="FootnoteText">
    <w:name w:val="footnote text"/>
    <w:basedOn w:val="Normal"/>
    <w:link w:val="FootnoteTextChar"/>
    <w:uiPriority w:val="99"/>
    <w:semiHidden/>
    <w:unhideWhenUsed/>
    <w:rsid w:val="00124115"/>
    <w:rPr>
      <w:sz w:val="20"/>
      <w:szCs w:val="20"/>
    </w:rPr>
  </w:style>
  <w:style w:type="character" w:customStyle="1" w:styleId="FootnoteTextChar">
    <w:name w:val="Footnote Text Char"/>
    <w:basedOn w:val="DefaultParagraphFont"/>
    <w:link w:val="FootnoteText"/>
    <w:uiPriority w:val="99"/>
    <w:semiHidden/>
    <w:rsid w:val="00124115"/>
    <w:rPr>
      <w:rFonts w:ascii="Segoe UI" w:eastAsia="Segoe UI" w:hAnsi="Segoe UI" w:cs="Segoe UI"/>
      <w:sz w:val="20"/>
      <w:szCs w:val="20"/>
    </w:rPr>
  </w:style>
  <w:style w:type="character" w:styleId="FootnoteReference">
    <w:name w:val="footnote reference"/>
    <w:basedOn w:val="DefaultParagraphFont"/>
    <w:uiPriority w:val="99"/>
    <w:semiHidden/>
    <w:unhideWhenUsed/>
    <w:rsid w:val="00124115"/>
    <w:rPr>
      <w:vertAlign w:val="superscript"/>
    </w:rPr>
  </w:style>
  <w:style w:type="character" w:styleId="Hyperlink">
    <w:name w:val="Hyperlink"/>
    <w:basedOn w:val="DefaultParagraphFont"/>
    <w:uiPriority w:val="99"/>
    <w:unhideWhenUsed/>
    <w:rsid w:val="00124115"/>
    <w:rPr>
      <w:color w:val="0000FF"/>
      <w:u w:val="single"/>
    </w:rPr>
  </w:style>
  <w:style w:type="paragraph" w:styleId="TOC2">
    <w:name w:val="toc 2"/>
    <w:basedOn w:val="Normal"/>
    <w:next w:val="Normal"/>
    <w:autoRedefine/>
    <w:uiPriority w:val="39"/>
    <w:unhideWhenUsed/>
    <w:rsid w:val="00705681"/>
    <w:pPr>
      <w:spacing w:after="100"/>
      <w:ind w:left="220"/>
    </w:pPr>
  </w:style>
  <w:style w:type="paragraph" w:styleId="TOC1">
    <w:name w:val="toc 1"/>
    <w:basedOn w:val="Normal"/>
    <w:next w:val="Normal"/>
    <w:autoRedefine/>
    <w:uiPriority w:val="39"/>
    <w:unhideWhenUsed/>
    <w:rsid w:val="00705681"/>
    <w:pPr>
      <w:spacing w:after="100"/>
    </w:pPr>
  </w:style>
  <w:style w:type="paragraph" w:customStyle="1" w:styleId="Default">
    <w:name w:val="Default"/>
    <w:rsid w:val="00DF6339"/>
    <w:pPr>
      <w:widowControl/>
      <w:adjustRightInd w:val="0"/>
    </w:pPr>
    <w:rPr>
      <w:rFonts w:ascii="Arial" w:hAnsi="Arial" w:cs="Arial"/>
      <w:color w:val="000000"/>
      <w:sz w:val="24"/>
      <w:szCs w:val="24"/>
      <w:lang w:val="en-AU"/>
    </w:rPr>
  </w:style>
  <w:style w:type="character" w:styleId="UnresolvedMention">
    <w:name w:val="Unresolved Mention"/>
    <w:basedOn w:val="DefaultParagraphFont"/>
    <w:uiPriority w:val="99"/>
    <w:semiHidden/>
    <w:unhideWhenUsed/>
    <w:rsid w:val="00854316"/>
    <w:rPr>
      <w:color w:val="605E5C"/>
      <w:shd w:val="clear" w:color="auto" w:fill="E1DFDD"/>
    </w:rPr>
  </w:style>
  <w:style w:type="character" w:styleId="Emphasis">
    <w:name w:val="Emphasis"/>
    <w:basedOn w:val="DefaultParagraphFont"/>
    <w:uiPriority w:val="20"/>
    <w:qFormat/>
    <w:rsid w:val="004E402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8511E3-177A-42C9-B276-7CD8D4BDF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4819</Words>
  <Characters>27472</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muriel cummins</dc:creator>
  <cp:lastModifiedBy>Carolyn Fitzgibbon</cp:lastModifiedBy>
  <cp:revision>2</cp:revision>
  <dcterms:created xsi:type="dcterms:W3CDTF">2026-10-09T11:04:00Z</dcterms:created>
  <dcterms:modified xsi:type="dcterms:W3CDTF">2026-10-09T11:04:00Z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2025-01-31T00:00:00Z</vt:filetime>
  </property>
  <property fmtid="{D5CDD505-2E9C-101B-9397-08002B2CF9AE}" pid="3" name="Creator">
    <vt:lpwstr>Microsoft® Word for Microsoft 365</vt:lpwstr>
  </property>
  <property fmtid="{D5CDD505-2E9C-101B-9397-08002B2CF9AE}" pid="4" name="LastSaved">
    <vt:filetime>2026-01-28T00:00:00Z</vt:filetime>
  </property>
  <property fmtid="{D5CDD505-2E9C-101B-9397-08002B2CF9AE}" pid="5" name="Producer">
    <vt:lpwstr>Microsoft® Word for Microsoft 365</vt:lpwstr>
  </property>
  <property fmtid="{D5CDD505-2E9C-101B-9397-08002B2CF9AE}" pid="6" name="GrammarlyDocumentId">
    <vt:lpwstr>3e41100c-c08d-4cd0-9e1c-36bbba820d3b</vt:lpwstr>
  </property>
</Properties>
</file>