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Poppins" w:cs="Poppins" w:eastAsia="Poppins" w:hAnsi="Poppins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sz w:val="24"/>
          <w:szCs w:val="24"/>
          <w:u w:val="single"/>
          <w:rtl w:val="0"/>
        </w:rPr>
        <w:t xml:space="preserve">Aviso de Prácticas de Información de Salud – Resumen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Tu privacidad es muy importante para nosotros. Este aviso explica cómo usamos, compartimos y protegemos tu información de salud personal (PHI) bajo la ley federal.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Tu Historia Médica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Cada vez que nos visitas, se crea un registro médico que puede incluir: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Tus síntomas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Exámenes y resultados de pruebas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Diagnósticos y planes de tratamiento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Tu historia está protegida por estrictas leyes estatales y federales de confidencialidad.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Tus Derechos sobre tu Información de Salud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Aunque el registro médico le pertenece al proveedor, la información en él te pertenece a ti. Tienes derecho a: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Solicitar y recibir copias de tu historia médica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Pedir correcciones o actualizaciones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Solicitar una lista de las veces que tu PHI fue compartida (conocida como “contabilidad de divulgaciones”)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Nuestras Responsabilidades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Bajo la Ley de Portabilidad y Responsabilidad de Seguros de Salud (HIPAA), estamos legalmente obligados a: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Mantener tu información de salud privada y segura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Proporcionar este aviso explicando nuestras prácticas de privacidad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Notificarte si ocurre una violación de seguridad que afecte tu información de salud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Cómo Usamos y Compartimos tu Información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Podemos usar o compartir tu información de salud por las siguientes razones sin necesidad de un permiso adicional: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Tratamiento: Para coordinar tu cuidado con médicos, especialistas u otros proveedores.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Pago: Para facturar a tu seguro, verificar beneficios o procesar pagos (esto puede incluir diagnósticos, procedimientos y fechas de servicio).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Operaciones de la Práctica: Para administrar y mejorar nuestra clínica,  incluyendo revisiones de calidad, capacitación del personal y tareas administrativas. También podemos trabajar con terceros de confianza (como compañías de facturación) que deben seguir reglas estrictas de privacidad.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Situaciones en las que Puedes Oponerte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 algunos casos, podemos compartir información relevante con familiares o cuidadores involucrados en tu atención, a menos que nos indiques lo contrario.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Divulgaciones que Debemos Hacer (No Requieren Consentimiento)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Existen situaciones en las que la ley nos exige compartir tu información, como por ejemplo:</w:t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Reportes de salud pública (ejemplo: enfermedades infecciosas)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Casos de abuso o negligencia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Órdenes judiciales o procesos legales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Solicitudes de las autoridades policiales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Funciones de seguridad nacional o del gobierno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Cuando se Requiere Autorización</w:t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Siempre pediremos tu autorización por escrito antes de compartir tu PHI para:</w:t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Marketing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Notas de psicoterapia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Terceros que no estén relacionados con tu atención médica</w:t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Lato" w:cs="Lato" w:eastAsia="Lato" w:hAnsi="Lato"/>
          <w:b w:val="1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0"/>
          <w:szCs w:val="20"/>
          <w:rtl w:val="0"/>
        </w:rPr>
        <w:t xml:space="preserve">Puedes revocar tu autorización en cualquier momento.</w:t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Presentar una Queja</w:t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Si crees que se han violado tus derechos de privacidad, tienes derecho a presentar una queja sin riesgo de represalias.</w:t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Puedes contactar a:</w:t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Pandora Family Medicine O al Departamento de Salud y Servicios Humanos de EE. UU. (Washington, D.C.)</w:t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Aviso Completo de Privacidad</w:t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Tenemos un Aviso de Prácticas de Privacidad más detallado para tu revisión.</w:t>
      </w:r>
    </w:p>
    <w:p w:rsidR="00000000" w:rsidDel="00000000" w:rsidP="00000000" w:rsidRDefault="00000000" w:rsidRPr="00000000" w14:paraId="0000004A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La versión más reciente siempre está disponible en nuestra oficina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Puedes pedir una copia impresa en cualquier momento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Revisado y finalizado el 3 de septiembre de 2025.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Style w:val="Heading3"/>
      <w:keepNext w:val="0"/>
      <w:keepLines w:val="0"/>
      <w:spacing w:before="280" w:line="240" w:lineRule="auto"/>
      <w:ind w:right="-1800" w:hanging="900"/>
      <w:rPr/>
    </w:pPr>
    <w:bookmarkStart w:colFirst="0" w:colLast="0" w:name="_heading=h.oa2igvmj3oe8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drawing>
        <wp:inline distB="114300" distT="114300" distL="114300" distR="114300">
          <wp:extent cx="7050024" cy="768096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619" l="0" r="0" t="26783"/>
                  <a:stretch>
                    <a:fillRect/>
                  </a:stretch>
                </pic:blipFill>
                <pic:spPr>
                  <a:xfrm>
                    <a:off x="0" y="0"/>
                    <a:ext cx="7050024" cy="7680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dqtSwcBGfk3N6V8GK5Cf/TLtQ==">CgMxLjAyDmgub2EyaWd2bWozb2U4OAByITEtMW1VcGhLWVRqODJWWl9pSVhUMXFja2pGYXlqM3dvcw==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