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Poppins" w:cs="Poppins" w:eastAsia="Poppins" w:hAnsi="Poppi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4"/>
          <w:szCs w:val="24"/>
          <w:u w:val="single"/>
          <w:rtl w:val="0"/>
        </w:rPr>
        <w:t xml:space="preserve">Formulario de Divulgación de Facturación Sorpresa / Balance Billing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Lato" w:cs="Lato" w:eastAsia="Lato" w:hAnsi="Lato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rtl w:val="0"/>
        </w:rPr>
        <w:t xml:space="preserve">Facturación Sorpresa – Conoce Tus Derechos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Lato" w:cs="Lato" w:eastAsia="Lato" w:hAnsi="Lato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La ley del estado de Maryland te protege contra la “facturación sorpresa”, también llamada “balance billing”.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Estas protecciones aplican cuando: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Recibes servicios de emergencia cubiertos (excepto servicios de ambulancia) de un proveedor fuera de la red, y/o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Sin darte cuenta recibes servicios cubiertos de un proveedor fuera de la red dentro de una instalación en red.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u w:val="single"/>
          <w:rtl w:val="0"/>
        </w:rPr>
        <w:t xml:space="preserve">¿Qué es la Facturación Sorpresa o Balance Billing?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Ocurre cuando: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Recibes atención de un proveedor o instalación que no está en la red de tu seguro (“out-of-network”).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El proveedor te cobra la diferencia entre lo que paga tu seguro y el monto total facturado. Esto puede resultar en costos inesperados de tu bolsillo.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u w:val="single"/>
          <w:rtl w:val="0"/>
        </w:rPr>
        <w:t xml:space="preserve">Cuándo NO Pueden Cobrarte Balance Billing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Lato" w:cs="Lato" w:eastAsia="Lato" w:hAnsi="Lato"/>
          <w:b w:val="1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sz w:val="17"/>
          <w:szCs w:val="17"/>
          <w:rtl w:val="0"/>
        </w:rPr>
        <w:t xml:space="preserve">Servicios de Emergencia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Si recibes atención de emergencia, no pueden cobrarte más allá de los costos normales de tu plan en red (copagos, deducibles y/o coseguro).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Esto incluye: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La instalación de emergencia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Cualquier proveedor de atención de emergencia que te atienda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Lato" w:cs="Lato" w:eastAsia="Lato" w:hAnsi="Lato"/>
          <w:b w:val="1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b w:val="1"/>
          <w:sz w:val="17"/>
          <w:szCs w:val="17"/>
          <w:rtl w:val="0"/>
        </w:rPr>
        <w:t xml:space="preserve">Servicios No de Emergencia (en una Instalación en Red)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Si estás en una instalación en red pero eres atendido por un proveedor fuera de la red, el proveedor debe: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Notificar sí no pertenece a la red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Informarte qué servicios podrían estar fuera de la red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Tienes derecho a pedir proveedores en red para todos los servicios. Sin embargo, si no hay proveedores en red disponibles, no pueden cobrarte más allá de tu costo compartido en red.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u w:val="single"/>
          <w:rtl w:val="0"/>
        </w:rPr>
        <w:t xml:space="preserve">Protecciones Adicionales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Tu aseguradora paga directamente a los proveedores fuera de la red.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Cualquier pago que hagas por servicios de emergencia o servicios protegidos fuera de la red cuenta para tu deducible y tu máximo de gastos de bolsillo.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Los proveedores o instalaciones deben reembolsar cualquier pago en exceso dentro de los 60 días.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Nadie (proveedores, instalaciones ni aseguradoras) puede pedirte que renuncies a estos derechos.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rtl w:val="0"/>
        </w:rPr>
        <w:t xml:space="preserve">Excepciones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sz w:val="17"/>
          <w:szCs w:val="17"/>
          <w:rtl w:val="0"/>
        </w:rPr>
        <w:t xml:space="preserve">Si eliges voluntariamente recibir servicios no de emergencia de un proveedor o instalación fuera de la red (cuando existen opciones en red disponibles), pueden cobrarte el balance o hacerte responsable del costo total.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Poppins" w:cs="Poppins" w:eastAsia="Poppins" w:hAnsi="Poppins"/>
          <w:b w:val="1"/>
          <w:sz w:val="17"/>
          <w:szCs w:val="17"/>
        </w:rPr>
      </w:pPr>
      <w:r w:rsidDel="00000000" w:rsidR="00000000" w:rsidRPr="00000000">
        <w:rPr>
          <w:rFonts w:ascii="Poppins" w:cs="Poppins" w:eastAsia="Poppins" w:hAnsi="Poppins"/>
          <w:b w:val="1"/>
          <w:sz w:val="17"/>
          <w:szCs w:val="17"/>
          <w:rtl w:val="0"/>
        </w:rPr>
        <w:t xml:space="preserve">Preguntas?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Lato" w:cs="Lato" w:eastAsia="Lato" w:hAnsi="Lat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Lato" w:cs="Lato" w:eastAsia="Lato" w:hAnsi="Lato"/>
          <w:i w:val="1"/>
          <w:sz w:val="17"/>
          <w:szCs w:val="17"/>
        </w:rPr>
      </w:pPr>
      <w:r w:rsidDel="00000000" w:rsidR="00000000" w:rsidRPr="00000000">
        <w:rPr>
          <w:rFonts w:ascii="Lato" w:cs="Lato" w:eastAsia="Lato" w:hAnsi="Lato"/>
          <w:i w:val="1"/>
          <w:sz w:val="17"/>
          <w:szCs w:val="17"/>
          <w:rtl w:val="0"/>
        </w:rPr>
        <w:t xml:space="preserve">Para más información sobre tus derechos y protecciones bajo la ley de Maryland, contacta a tu compañía de seguros de salud al número que aparece en tu tarjeta de identificación del seguro.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Revisado y finalizado el 3 de septiembre de 2025.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cNT1bDiiRIIU4gZ5YdL3uJqnBA==">CgMxLjAyDmgub2EyaWd2bWozb2U4OAByITFRVHp3bXhDdVMzT1NObTlLeUdveGpfQTNQU2JoazdxYw==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