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Poppins" w:cs="Poppins" w:eastAsia="Poppins" w:hAnsi="Poppi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4"/>
          <w:szCs w:val="24"/>
          <w:u w:val="single"/>
          <w:rtl w:val="0"/>
        </w:rPr>
        <w:t xml:space="preserve">Política de Confidencialidad</w:t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Propósito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Poppins" w:cs="Poppins" w:eastAsia="Poppins" w:hAnsi="Poppins"/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Asegurar que toda la atención médica de los pacientes, los registros de empleados y las operaciones de Pandora Family Medicine se mantengan estrictamente confidenciales, en total cumplimiento con las leyes estatales y federales de privacidad.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Declaración de la Política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Esta política aplica a todos los empleados y también a cualquier persona externa (contratistas, proveedores, consultores, etc.) que pueda tener acceso a información sensible.</w:t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Nos comprometemos a proteger todo material confidencial relacionado con: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720" w:firstLine="0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Atención de pacientes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Registros de empleados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Finanzas y operaciones de la práctica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El acceso a información confidencial solo está permitido bajo la regla de “necesidad de saber”.</w:t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Requisitos para Personas Externas</w:t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Deben firmar un Acuerdo de Divulgación Confidencial (CDA)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Solo pueden acceder a la información necesaria para cumplir con sus servicios contratados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Deben respetar estrictamente los límites en el uso y manejo de la información</w:t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Reporte y Responsabilidad</w:t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rFonts w:ascii="Lato" w:cs="Lato" w:eastAsia="Lato" w:hAnsi="Lato"/>
          <w:b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Todos los miembros del equipo —incluyendo personal temporal— deben reportar cualquier sospecha de incumplimiento de confidencialidad al: </w:t>
      </w: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rtl w:val="0"/>
        </w:rPr>
        <w:t xml:space="preserve">Gerente de Oficina, o </w:t>
      </w: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Médico Propietario</w:t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Violaciones y Acciones Disciplinarias</w:t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Los empleados pueden enfrentar medidas disciplinarias si:</w:t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Acceden a información confidencial que no corresponde a su función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Divulgan información sensible a personas no autorizadas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No protegen la información de pacientes, empleados o financiera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No reportan incumplimientos conocidos o sospechados</w:t>
      </w:r>
    </w:p>
    <w:p w:rsidR="00000000" w:rsidDel="00000000" w:rsidP="00000000" w:rsidRDefault="00000000" w:rsidRPr="00000000" w14:paraId="00000023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Incumplimientos de Personas Externas</w:t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Cualquier tercero o proveedor que no cumpla con los estándares de confidencialidad puede: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Perder el acceso a registros o sistemas en el futuro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Tener su contrato terminado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Enfrentar acciones legales por violar el CDA</w:t>
      </w:r>
    </w:p>
    <w:p w:rsidR="00000000" w:rsidDel="00000000" w:rsidP="00000000" w:rsidRDefault="00000000" w:rsidRPr="00000000" w14:paraId="0000002A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rFonts w:ascii="Poppins" w:cs="Poppins" w:eastAsia="Poppins" w:hAnsi="Poppins"/>
          <w:b w:val="1"/>
          <w:sz w:val="18"/>
          <w:szCs w:val="18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u w:val="single"/>
          <w:rtl w:val="0"/>
        </w:rPr>
        <w:t xml:space="preserve">Cumplimiento y Aplicación</w:t>
      </w:r>
    </w:p>
    <w:p w:rsidR="00000000" w:rsidDel="00000000" w:rsidP="00000000" w:rsidRDefault="00000000" w:rsidRPr="00000000" w14:paraId="0000002C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rFonts w:ascii="Poppins" w:cs="Poppins" w:eastAsia="Poppins" w:hAnsi="Poppins"/>
          <w:b w:val="1"/>
          <w:i w:val="1"/>
          <w:sz w:val="8"/>
          <w:szCs w:val="8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18"/>
          <w:szCs w:val="18"/>
          <w:rtl w:val="0"/>
        </w:rPr>
        <w:t xml:space="preserve">En Pandora Family Medicine tomamos la confidencialidad muy en serio.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Las violaciones a esta política serán investigadas a fondo y pueden resultar en:</w:t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Acciones correctivas o reentrenamiento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Terminación de empleo o contrato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Acciones legales, dependiendo de la gravedad de la falta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Revisado y finalizado el 3 de septiembre de 2025.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D8qex/5aO49r/5jA7ISeTidgg==">CgMxLjAyDmgub2EyaWd2bWozb2U4OAByITF6UC1IV2JYamozMVRNV2d6bWxpQ0dvaXY0aXB2YWxBQw==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