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emf" ContentType="image/x-emf"/>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9AE" w:rsidRDefault="00683A36" w:rsidP="00683A36">
      <w:pPr>
        <w:jc w:val="center"/>
        <w:rPr>
          <w:b/>
        </w:rPr>
      </w:pPr>
      <w:r>
        <w:rPr>
          <w:b/>
        </w:rPr>
        <w:t>On-line Appendix for “Taking the Fight to Them: Neighborhood Human Rights Organizations and Domestic Protest</w:t>
      </w:r>
    </w:p>
    <w:p w:rsidR="009A09AE" w:rsidRDefault="009A09AE" w:rsidP="00683A36">
      <w:pPr>
        <w:jc w:val="center"/>
        <w:rPr>
          <w:b/>
        </w:rPr>
      </w:pPr>
    </w:p>
    <w:p w:rsidR="00683A36" w:rsidRPr="009A09AE" w:rsidRDefault="009A09AE" w:rsidP="009A09AE">
      <w:r>
        <w:t xml:space="preserve">The model presented below estimates the same model as Table 1 in the manuscript, but instead uses a dependent variable of violent protest. This variable is also generated from the same events data. The results on the interaction terms below demonstrate that the conditional effect that we find between domestic and neighboring HROs in Table 1 of the manuscript do not hold up when examining violent protest. This is not inconsistent with our argument, because we do not expect that these organizations are likely to push for violent forms of protest as these might be met with greater repression from the government. </w:t>
      </w:r>
    </w:p>
    <w:p w:rsidR="00683A36" w:rsidRDefault="00683A36" w:rsidP="00683A36">
      <w:pPr>
        <w:jc w:val="center"/>
        <w:rPr>
          <w:b/>
        </w:rPr>
      </w:pPr>
    </w:p>
    <w:p w:rsidR="00683A36" w:rsidRDefault="00683A36" w:rsidP="00683A36">
      <w:pPr>
        <w:jc w:val="center"/>
        <w:rPr>
          <w:b/>
        </w:rPr>
      </w:pPr>
      <w:r>
        <w:rPr>
          <w:b/>
        </w:rPr>
        <w:t>Table A1: The Impact of Neighborhood HROs on Violent Protest, Negative Binomial Model with Robust Standard Errors</w:t>
      </w:r>
    </w:p>
    <w:tbl>
      <w:tblPr>
        <w:tblW w:w="8418" w:type="dxa"/>
        <w:jc w:val="center"/>
        <w:tblLayout w:type="fixed"/>
        <w:tblCellMar>
          <w:left w:w="75" w:type="dxa"/>
          <w:right w:w="75" w:type="dxa"/>
        </w:tblCellMar>
        <w:tblLook w:val="0000"/>
      </w:tblPr>
      <w:tblGrid>
        <w:gridCol w:w="6220"/>
        <w:gridCol w:w="2198"/>
      </w:tblGrid>
      <w:tr w:rsidR="00683A36" w:rsidRPr="0006742C">
        <w:trPr>
          <w:jc w:val="center"/>
        </w:trPr>
        <w:tc>
          <w:tcPr>
            <w:tcW w:w="6220" w:type="dxa"/>
            <w:tcBorders>
              <w:top w:val="single" w:sz="6" w:space="0" w:color="auto"/>
              <w:left w:val="nil"/>
              <w:bottom w:val="nil"/>
              <w:right w:val="nil"/>
            </w:tcBorders>
          </w:tcPr>
          <w:p w:rsidR="00683A36" w:rsidRPr="0006742C" w:rsidRDefault="00683A36">
            <w:pPr>
              <w:widowControl w:val="0"/>
              <w:autoSpaceDE w:val="0"/>
              <w:autoSpaceDN w:val="0"/>
              <w:adjustRightInd w:val="0"/>
              <w:rPr>
                <w:rFonts w:cs="Times New Roman"/>
                <w:b/>
              </w:rPr>
            </w:pPr>
          </w:p>
        </w:tc>
        <w:tc>
          <w:tcPr>
            <w:tcW w:w="2198" w:type="dxa"/>
            <w:tcBorders>
              <w:top w:val="single" w:sz="6" w:space="0" w:color="auto"/>
              <w:left w:val="nil"/>
              <w:bottom w:val="nil"/>
              <w:right w:val="nil"/>
            </w:tcBorders>
          </w:tcPr>
          <w:p w:rsidR="00683A36" w:rsidRPr="0006742C" w:rsidRDefault="00683A36">
            <w:pPr>
              <w:widowControl w:val="0"/>
              <w:autoSpaceDE w:val="0"/>
              <w:autoSpaceDN w:val="0"/>
              <w:adjustRightInd w:val="0"/>
              <w:jc w:val="center"/>
              <w:rPr>
                <w:rFonts w:cs="Times New Roman"/>
                <w:b/>
              </w:rPr>
            </w:pPr>
            <w:r>
              <w:rPr>
                <w:rFonts w:cs="Times New Roman"/>
                <w:b/>
              </w:rPr>
              <w:t>Coefficient</w:t>
            </w:r>
          </w:p>
        </w:tc>
      </w:tr>
      <w:tr w:rsidR="00683A36" w:rsidRPr="0006742C">
        <w:trPr>
          <w:jc w:val="center"/>
        </w:trPr>
        <w:tc>
          <w:tcPr>
            <w:tcW w:w="6220" w:type="dxa"/>
            <w:tcBorders>
              <w:top w:val="nil"/>
              <w:left w:val="nil"/>
              <w:bottom w:val="single" w:sz="6" w:space="0" w:color="auto"/>
              <w:right w:val="nil"/>
            </w:tcBorders>
          </w:tcPr>
          <w:p w:rsidR="00683A36" w:rsidRPr="0006742C" w:rsidRDefault="00683A36">
            <w:pPr>
              <w:widowControl w:val="0"/>
              <w:autoSpaceDE w:val="0"/>
              <w:autoSpaceDN w:val="0"/>
              <w:adjustRightInd w:val="0"/>
              <w:rPr>
                <w:rFonts w:cs="Times New Roman"/>
                <w:b/>
              </w:rPr>
            </w:pPr>
            <w:r w:rsidRPr="0006742C">
              <w:rPr>
                <w:rFonts w:cs="Times New Roman"/>
                <w:b/>
              </w:rPr>
              <w:t>VARIABLES</w:t>
            </w:r>
          </w:p>
        </w:tc>
        <w:tc>
          <w:tcPr>
            <w:tcW w:w="2198" w:type="dxa"/>
            <w:tcBorders>
              <w:top w:val="nil"/>
              <w:left w:val="nil"/>
              <w:bottom w:val="single" w:sz="6" w:space="0" w:color="auto"/>
              <w:right w:val="nil"/>
            </w:tcBorders>
          </w:tcPr>
          <w:p w:rsidR="00683A36" w:rsidRPr="0006742C" w:rsidRDefault="00683A36">
            <w:pPr>
              <w:widowControl w:val="0"/>
              <w:autoSpaceDE w:val="0"/>
              <w:autoSpaceDN w:val="0"/>
              <w:adjustRightInd w:val="0"/>
              <w:jc w:val="center"/>
              <w:rPr>
                <w:rFonts w:cs="Times New Roman"/>
                <w:b/>
              </w:rPr>
            </w:pPr>
            <w:r>
              <w:rPr>
                <w:rFonts w:cs="Times New Roman"/>
                <w:b/>
              </w:rPr>
              <w:t>(Standard Error)</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r w:rsidRPr="0006742C">
              <w:rPr>
                <w:rFonts w:cs="Times New Roman"/>
              </w:rPr>
              <w:t xml:space="preserve">HRO Secretariat </w:t>
            </w:r>
            <w:r w:rsidRPr="0006742C">
              <w:rPr>
                <w:rFonts w:cs="Times New Roman"/>
                <w:vertAlign w:val="subscript"/>
              </w:rPr>
              <w:t>t-1</w:t>
            </w: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0.0540**</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(0.026)</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r w:rsidRPr="0006742C">
              <w:rPr>
                <w:rFonts w:cs="Times New Roman"/>
              </w:rPr>
              <w:t>Neighborhood HRO Secretariat</w:t>
            </w:r>
            <w:r w:rsidRPr="0006742C">
              <w:rPr>
                <w:rFonts w:cs="Times New Roman"/>
                <w:vertAlign w:val="subscript"/>
              </w:rPr>
              <w:t xml:space="preserve">  t-1</w:t>
            </w: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0.0129***</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(0.004)</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r w:rsidRPr="0006742C">
              <w:rPr>
                <w:rFonts w:cs="Times New Roman"/>
              </w:rPr>
              <w:t xml:space="preserve">HRO Member (ln) </w:t>
            </w:r>
            <w:r w:rsidRPr="0006742C">
              <w:rPr>
                <w:rFonts w:cs="Times New Roman"/>
                <w:vertAlign w:val="subscript"/>
              </w:rPr>
              <w:t xml:space="preserve"> t-1</w:t>
            </w: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0.2982</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(0.195)</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r w:rsidRPr="0006742C">
              <w:rPr>
                <w:rFonts w:cs="Times New Roman"/>
              </w:rPr>
              <w:t xml:space="preserve">Neighborhood HRO Member (ln) </w:t>
            </w:r>
            <w:r w:rsidRPr="0006742C">
              <w:rPr>
                <w:rFonts w:cs="Times New Roman"/>
                <w:vertAlign w:val="subscript"/>
              </w:rPr>
              <w:t>t-1</w:t>
            </w: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-0.1118</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(0.269)</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r w:rsidRPr="0006742C">
              <w:rPr>
                <w:rFonts w:cs="Times New Roman"/>
              </w:rPr>
              <w:t xml:space="preserve">HRO Member (ln)  X  Neighborhood HRO Member (ln) </w:t>
            </w:r>
            <w:r w:rsidRPr="0006742C">
              <w:rPr>
                <w:rFonts w:cs="Times New Roman"/>
                <w:vertAlign w:val="subscript"/>
              </w:rPr>
              <w:t>t-1</w:t>
            </w: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-0.0553</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(0.069)</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r w:rsidRPr="0006742C">
              <w:rPr>
                <w:rFonts w:cs="Times New Roman"/>
              </w:rPr>
              <w:t xml:space="preserve">HRO Secretariat (ln)  X  Neighborhood HRO Member (ln) </w:t>
            </w:r>
            <w:r w:rsidRPr="0006742C">
              <w:rPr>
                <w:rFonts w:cs="Times New Roman"/>
                <w:vertAlign w:val="subscript"/>
              </w:rPr>
              <w:t>t-1</w:t>
            </w: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-0.0101</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(0.007)</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r w:rsidRPr="0006742C">
              <w:rPr>
                <w:rFonts w:cs="Times New Roman"/>
              </w:rPr>
              <w:t xml:space="preserve">Violent Protest </w:t>
            </w:r>
            <w:r w:rsidRPr="0006742C">
              <w:rPr>
                <w:rFonts w:cs="Times New Roman"/>
                <w:vertAlign w:val="subscript"/>
              </w:rPr>
              <w:t>t-1</w:t>
            </w: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0.0117***</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(0.002)</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r w:rsidRPr="0006742C">
              <w:rPr>
                <w:rFonts w:cs="Times New Roman"/>
              </w:rPr>
              <w:t xml:space="preserve">Non-Violent Protest </w:t>
            </w:r>
            <w:r w:rsidRPr="0006742C">
              <w:rPr>
                <w:rFonts w:cs="Times New Roman"/>
                <w:vertAlign w:val="subscript"/>
              </w:rPr>
              <w:t>t-1</w:t>
            </w: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-0.0023</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(0.002)</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r w:rsidRPr="0006742C">
              <w:rPr>
                <w:rFonts w:cs="Times New Roman"/>
              </w:rPr>
              <w:t xml:space="preserve">Neighborhood Violent Protest </w:t>
            </w:r>
            <w:r w:rsidRPr="0006742C">
              <w:rPr>
                <w:rFonts w:cs="Times New Roman"/>
                <w:vertAlign w:val="subscript"/>
              </w:rPr>
              <w:t>t-1</w:t>
            </w: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0.0009</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(0.001)</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r w:rsidRPr="0006742C">
              <w:rPr>
                <w:rFonts w:cs="Times New Roman"/>
              </w:rPr>
              <w:t xml:space="preserve">Neighborhood Physical Integrity Rights Index (CIRI) </w:t>
            </w:r>
            <w:r w:rsidRPr="0006742C">
              <w:rPr>
                <w:rFonts w:cs="Times New Roman"/>
                <w:vertAlign w:val="subscript"/>
              </w:rPr>
              <w:t>t-1</w:t>
            </w: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0.0289</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(0.025)</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r w:rsidRPr="0006742C">
              <w:rPr>
                <w:rFonts w:cs="Times New Roman"/>
              </w:rPr>
              <w:t xml:space="preserve">Physical Integrity Rights Index (CIRI) </w:t>
            </w:r>
            <w:r w:rsidRPr="0006742C">
              <w:rPr>
                <w:rFonts w:cs="Times New Roman"/>
                <w:vertAlign w:val="subscript"/>
              </w:rPr>
              <w:t>t-1</w:t>
            </w: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-0.2287***</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(0.022)</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r w:rsidRPr="0006742C">
              <w:rPr>
                <w:rFonts w:cs="Times New Roman"/>
              </w:rPr>
              <w:t xml:space="preserve">Population (ln) </w:t>
            </w:r>
            <w:r w:rsidRPr="0006742C">
              <w:rPr>
                <w:rFonts w:cs="Times New Roman"/>
                <w:vertAlign w:val="subscript"/>
              </w:rPr>
              <w:t>t-1</w:t>
            </w: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0.0853**</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(0.043)</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r w:rsidRPr="0006742C">
              <w:rPr>
                <w:rFonts w:cs="Times New Roman"/>
              </w:rPr>
              <w:t xml:space="preserve">GDP per Capita (ln) </w:t>
            </w:r>
            <w:r w:rsidRPr="0006742C">
              <w:rPr>
                <w:rFonts w:cs="Times New Roman"/>
                <w:vertAlign w:val="subscript"/>
              </w:rPr>
              <w:t xml:space="preserve"> t-1</w:t>
            </w: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-0.0302</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(0.040)</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r w:rsidRPr="0006742C">
              <w:rPr>
                <w:rFonts w:cs="Times New Roman"/>
              </w:rPr>
              <w:t xml:space="preserve">War (Interstate or Intrastate) </w:t>
            </w:r>
            <w:r w:rsidRPr="0006742C">
              <w:rPr>
                <w:rFonts w:cs="Times New Roman"/>
                <w:vertAlign w:val="subscript"/>
              </w:rPr>
              <w:t>t-1</w:t>
            </w: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0.2909***</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(0.113)</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r w:rsidRPr="0006742C">
              <w:rPr>
                <w:rFonts w:cs="Times New Roman"/>
              </w:rPr>
              <w:t xml:space="preserve">Polity Score (-10 to 10) </w:t>
            </w:r>
            <w:r w:rsidRPr="0006742C">
              <w:rPr>
                <w:rFonts w:cs="Times New Roman"/>
                <w:vertAlign w:val="subscript"/>
              </w:rPr>
              <w:t>t-1</w:t>
            </w: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0.0122*</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(0.007)</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r w:rsidRPr="0006742C">
              <w:rPr>
                <w:rFonts w:cs="Times New Roman"/>
              </w:rPr>
              <w:t xml:space="preserve">IDEA Coverage (ln) </w:t>
            </w:r>
            <w:r w:rsidRPr="0006742C">
              <w:rPr>
                <w:rFonts w:cs="Times New Roman"/>
                <w:vertAlign w:val="subscript"/>
              </w:rPr>
              <w:t>t-1</w:t>
            </w: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0.3290***</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(0.051)</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r w:rsidRPr="0006742C">
              <w:rPr>
                <w:rFonts w:cs="Times New Roman"/>
              </w:rPr>
              <w:t>Constant</w:t>
            </w: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-0.7049</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(1.093)</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r w:rsidRPr="0006742C">
              <w:rPr>
                <w:rFonts w:cs="Times New Roman"/>
              </w:rPr>
              <w:t>Ln alpha</w:t>
            </w: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-0.1942***</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(0.065)</w:t>
            </w:r>
          </w:p>
        </w:tc>
      </w:tr>
      <w:tr w:rsidR="00683A36" w:rsidRPr="0006742C">
        <w:trPr>
          <w:jc w:val="center"/>
        </w:trPr>
        <w:tc>
          <w:tcPr>
            <w:tcW w:w="6220" w:type="dxa"/>
            <w:tcBorders>
              <w:top w:val="nil"/>
              <w:left w:val="nil"/>
              <w:bottom w:val="nil"/>
              <w:right w:val="nil"/>
            </w:tcBorders>
          </w:tcPr>
          <w:p w:rsidR="00683A36" w:rsidRPr="0006742C" w:rsidRDefault="00683A36">
            <w:pPr>
              <w:widowControl w:val="0"/>
              <w:autoSpaceDE w:val="0"/>
              <w:autoSpaceDN w:val="0"/>
              <w:adjustRightInd w:val="0"/>
              <w:rPr>
                <w:rFonts w:cs="Times New Roman"/>
              </w:rPr>
            </w:pPr>
          </w:p>
        </w:tc>
        <w:tc>
          <w:tcPr>
            <w:tcW w:w="2198" w:type="dxa"/>
            <w:tcBorders>
              <w:top w:val="nil"/>
              <w:left w:val="nil"/>
              <w:bottom w:val="nil"/>
              <w:right w:val="nil"/>
            </w:tcBorders>
          </w:tcPr>
          <w:p w:rsidR="00683A36" w:rsidRPr="0006742C" w:rsidRDefault="00683A36">
            <w:pPr>
              <w:widowControl w:val="0"/>
              <w:autoSpaceDE w:val="0"/>
              <w:autoSpaceDN w:val="0"/>
              <w:adjustRightInd w:val="0"/>
              <w:jc w:val="center"/>
              <w:rPr>
                <w:rFonts w:cs="Times New Roman"/>
              </w:rPr>
            </w:pPr>
          </w:p>
        </w:tc>
      </w:tr>
      <w:tr w:rsidR="00683A36" w:rsidRPr="0006742C">
        <w:tblPrEx>
          <w:tblBorders>
            <w:bottom w:val="single" w:sz="6" w:space="0" w:color="auto"/>
          </w:tblBorders>
        </w:tblPrEx>
        <w:trPr>
          <w:jc w:val="center"/>
        </w:trPr>
        <w:tc>
          <w:tcPr>
            <w:tcW w:w="6220" w:type="dxa"/>
            <w:tcBorders>
              <w:top w:val="nil"/>
              <w:left w:val="nil"/>
              <w:bottom w:val="single" w:sz="6" w:space="0" w:color="auto"/>
              <w:right w:val="nil"/>
            </w:tcBorders>
          </w:tcPr>
          <w:p w:rsidR="00683A36" w:rsidRPr="0006742C" w:rsidRDefault="00683A36">
            <w:pPr>
              <w:widowControl w:val="0"/>
              <w:autoSpaceDE w:val="0"/>
              <w:autoSpaceDN w:val="0"/>
              <w:adjustRightInd w:val="0"/>
              <w:rPr>
                <w:rFonts w:cs="Times New Roman"/>
              </w:rPr>
            </w:pPr>
            <w:r w:rsidRPr="0006742C">
              <w:rPr>
                <w:rFonts w:cs="Times New Roman"/>
              </w:rPr>
              <w:t>Observations</w:t>
            </w:r>
          </w:p>
        </w:tc>
        <w:tc>
          <w:tcPr>
            <w:tcW w:w="2198" w:type="dxa"/>
            <w:tcBorders>
              <w:top w:val="nil"/>
              <w:left w:val="nil"/>
              <w:bottom w:val="single" w:sz="6" w:space="0" w:color="auto"/>
              <w:right w:val="nil"/>
            </w:tcBorders>
          </w:tcPr>
          <w:p w:rsidR="00683A36" w:rsidRPr="0006742C" w:rsidRDefault="00683A36">
            <w:pPr>
              <w:widowControl w:val="0"/>
              <w:autoSpaceDE w:val="0"/>
              <w:autoSpaceDN w:val="0"/>
              <w:adjustRightInd w:val="0"/>
              <w:jc w:val="center"/>
              <w:rPr>
                <w:rFonts w:cs="Times New Roman"/>
              </w:rPr>
            </w:pPr>
            <w:r w:rsidRPr="0006742C">
              <w:rPr>
                <w:rFonts w:cs="Times New Roman"/>
              </w:rPr>
              <w:t>1,546</w:t>
            </w:r>
          </w:p>
        </w:tc>
      </w:tr>
    </w:tbl>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9A09AE" w:rsidRDefault="009A09AE" w:rsidP="009A09AE"/>
    <w:p w:rsidR="00683A36" w:rsidRPr="009A09AE" w:rsidRDefault="009A09AE" w:rsidP="009A09AE">
      <w:r>
        <w:t xml:space="preserve">Table 2 below presents the list </w:t>
      </w:r>
      <w:r w:rsidR="00504C10">
        <w:t xml:space="preserve">of events that are counted in the non-violent events dependent variable. </w:t>
      </w:r>
    </w:p>
    <w:p w:rsidR="00683A36" w:rsidRDefault="00683A36" w:rsidP="00683A36">
      <w:pPr>
        <w:spacing w:line="480" w:lineRule="auto"/>
        <w:ind w:firstLine="720"/>
        <w:jc w:val="center"/>
        <w:rPr>
          <w:b/>
        </w:rPr>
      </w:pPr>
      <w:r>
        <w:rPr>
          <w:b/>
        </w:rPr>
        <w:t>Table A2:  Nonviolent Protest Activities in the IDEA Dataset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59"/>
        <w:gridCol w:w="2914"/>
        <w:gridCol w:w="2983"/>
      </w:tblGrid>
      <w:tr w:rsidR="00683A36">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ACTIVITY</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 xml:space="preserve">IDEA CODE </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 xml:space="preserve">DEFINITION </w:t>
            </w:r>
          </w:p>
        </w:tc>
      </w:tr>
      <w:tr w:rsidR="00683A36">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Break relations</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&lt;BREL&gt;</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Formal severance of ties.</w:t>
            </w:r>
          </w:p>
        </w:tc>
      </w:tr>
      <w:tr w:rsidR="00683A36">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Defy norms</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&lt;DEFY&gt;</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 xml:space="preserve">Open defiance of laws and norms, civil disobedience. </w:t>
            </w:r>
          </w:p>
        </w:tc>
      </w:tr>
      <w:tr w:rsidR="00683A36">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Demonstrate</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&lt;DEMO&gt;</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Demonstrations not otherwise specified.</w:t>
            </w:r>
          </w:p>
        </w:tc>
      </w:tr>
      <w:tr w:rsidR="00683A36">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Formally complain</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&lt;FCOM&gt;</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Written and institutionalized protests and appeals, and all petition drives and recalls.</w:t>
            </w:r>
          </w:p>
        </w:tc>
      </w:tr>
      <w:tr w:rsidR="00683A36">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Informally complain</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&lt;ICOM&gt;</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Verbal protests and rebukes, and all other informal complaints.</w:t>
            </w:r>
          </w:p>
        </w:tc>
      </w:tr>
      <w:tr w:rsidR="00683A36">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Protest altruism</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&lt;PALT&gt;</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Protest demonstrations that place the source (protestor) at risk for the sake of unity with the target.</w:t>
            </w:r>
          </w:p>
        </w:tc>
      </w:tr>
      <w:tr w:rsidR="00683A36">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Protest demonstrations</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&lt;PDEM&gt;</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All protest demonstrations not otherwise specified.</w:t>
            </w:r>
          </w:p>
        </w:tc>
      </w:tr>
      <w:tr w:rsidR="00683A36">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Protest procession</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&lt;PMAR&gt;</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Picketing and other parading protests.</w:t>
            </w:r>
          </w:p>
        </w:tc>
      </w:tr>
      <w:tr w:rsidR="00683A36">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Protest obstruction</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&lt;POBS&gt;</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Sit-ins and other non-military occupation protests.</w:t>
            </w:r>
          </w:p>
        </w:tc>
      </w:tr>
      <w:tr w:rsidR="00683A36">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Protest defacement</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&lt;PPRO&gt;</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Damage, sabotage and the use of graffiti to desecrate property and symbols.</w:t>
            </w:r>
          </w:p>
        </w:tc>
      </w:tr>
      <w:tr w:rsidR="00683A36">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Reduce routine activity</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&lt;REDR&gt;</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Reduction of routine and planned activities.</w:t>
            </w:r>
          </w:p>
        </w:tc>
      </w:tr>
      <w:tr w:rsidR="00683A36">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Rally support</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&lt;SRAL&gt;</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Gatherings to express or demonstrate support, celebrations and all other public displays of confidence; includes protest vigils and commemorations.</w:t>
            </w:r>
          </w:p>
        </w:tc>
      </w:tr>
      <w:tr w:rsidR="00683A36">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Strikes and boycotts</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&lt;STRI&gt;</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Labor and professional sanctions reported as strikes, general strikes, walkouts, withholding of goods or services and lockouts.</w:t>
            </w:r>
          </w:p>
        </w:tc>
      </w:tr>
      <w:tr w:rsidR="00683A36">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Threaten to boycott or embargo</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&lt;TBOE&gt;</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Threaten to boycott or impose embargoes, restrict normal interactions presented explicitly as a protest or retaliatory measure.</w:t>
            </w:r>
          </w:p>
        </w:tc>
      </w:tr>
      <w:tr w:rsidR="00683A36">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Threaten to reduce or break relations</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&lt;TRBR&gt;</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Threaten to reduce or formally sever ties.</w:t>
            </w:r>
          </w:p>
        </w:tc>
      </w:tr>
      <w:tr w:rsidR="00683A36">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Sanctions threat</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&lt;TSAN&gt;</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Threats of non-military, non-physical force social, economic and political sanctions.</w:t>
            </w:r>
          </w:p>
        </w:tc>
      </w:tr>
      <w:tr w:rsidR="00683A36">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Give ultimatum</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&lt;ULTI&gt;</w:t>
            </w:r>
          </w:p>
        </w:tc>
        <w:tc>
          <w:tcPr>
            <w:tcW w:w="3192" w:type="dxa"/>
            <w:tcBorders>
              <w:top w:val="single" w:sz="4" w:space="0" w:color="000000"/>
              <w:left w:val="single" w:sz="4" w:space="0" w:color="000000"/>
              <w:bottom w:val="single" w:sz="4" w:space="0" w:color="000000"/>
              <w:right w:val="single" w:sz="4" w:space="0" w:color="000000"/>
            </w:tcBorders>
          </w:tcPr>
          <w:p w:rsidR="00683A36" w:rsidRDefault="00683A36">
            <w:pPr>
              <w:rPr>
                <w:rFonts w:cs="Times New Roman"/>
                <w:sz w:val="18"/>
                <w:szCs w:val="18"/>
              </w:rPr>
            </w:pPr>
            <w:r>
              <w:rPr>
                <w:sz w:val="18"/>
                <w:szCs w:val="18"/>
              </w:rPr>
              <w:t>Threats conveyed explicitly as an ultimatum.</w:t>
            </w:r>
          </w:p>
        </w:tc>
      </w:tr>
    </w:tbl>
    <w:p w:rsidR="00F03446" w:rsidRDefault="00F03446" w:rsidP="00683A36">
      <w:pPr>
        <w:rPr>
          <w:b/>
        </w:rPr>
      </w:pPr>
    </w:p>
    <w:p w:rsidR="00F03446" w:rsidRDefault="00F03446" w:rsidP="00683A36">
      <w:pPr>
        <w:rPr>
          <w:b/>
        </w:rPr>
      </w:pPr>
    </w:p>
    <w:p w:rsidR="00F03446" w:rsidRDefault="00F03446" w:rsidP="00683A36">
      <w:pPr>
        <w:rPr>
          <w:b/>
        </w:rPr>
      </w:pPr>
    </w:p>
    <w:p w:rsidR="00F03446" w:rsidRDefault="00F03446" w:rsidP="00683A36">
      <w:pPr>
        <w:rPr>
          <w:b/>
        </w:rPr>
      </w:pPr>
    </w:p>
    <w:p w:rsidR="00F03446" w:rsidRDefault="00F03446" w:rsidP="00683A36">
      <w:pPr>
        <w:rPr>
          <w:b/>
        </w:rPr>
      </w:pPr>
    </w:p>
    <w:p w:rsidR="00F03446" w:rsidRDefault="00F03446" w:rsidP="00683A36">
      <w:pPr>
        <w:rPr>
          <w:b/>
        </w:rPr>
      </w:pPr>
    </w:p>
    <w:p w:rsidR="00F03446" w:rsidRDefault="00F03446" w:rsidP="00683A36">
      <w:pPr>
        <w:rPr>
          <w:b/>
        </w:rPr>
      </w:pPr>
    </w:p>
    <w:p w:rsidR="00F03446" w:rsidRDefault="00F03446" w:rsidP="00683A36">
      <w:pPr>
        <w:rPr>
          <w:b/>
        </w:rPr>
      </w:pPr>
    </w:p>
    <w:p w:rsidR="00F03446" w:rsidRDefault="00F03446" w:rsidP="00683A36">
      <w:pPr>
        <w:rPr>
          <w:b/>
        </w:rPr>
      </w:pPr>
    </w:p>
    <w:p w:rsidR="004C71F4" w:rsidRDefault="00504C10" w:rsidP="00504C10">
      <w:pPr>
        <w:pStyle w:val="NoSpacing"/>
        <w:rPr>
          <w:rFonts w:ascii="Times New Roman" w:hAnsi="Times New Roman" w:cs="Times New Roman"/>
          <w:sz w:val="24"/>
          <w:szCs w:val="24"/>
        </w:rPr>
      </w:pPr>
      <w:r>
        <w:rPr>
          <w:rFonts w:ascii="Times New Roman" w:hAnsi="Times New Roman" w:cs="Times New Roman"/>
          <w:sz w:val="24"/>
          <w:szCs w:val="24"/>
        </w:rPr>
        <w:t xml:space="preserve">Table 3 presents two alternate weighting schemes for the HRO membership variable. Instead of relying on just neighborhood weighting, we use a trade-based weight and a </w:t>
      </w:r>
      <w:r w:rsidR="00800D9D">
        <w:rPr>
          <w:rFonts w:ascii="Times New Roman" w:hAnsi="Times New Roman" w:cs="Times New Roman"/>
          <w:sz w:val="24"/>
          <w:szCs w:val="24"/>
        </w:rPr>
        <w:t xml:space="preserve">former </w:t>
      </w:r>
      <w:r>
        <w:rPr>
          <w:rFonts w:ascii="Times New Roman" w:hAnsi="Times New Roman" w:cs="Times New Roman"/>
          <w:sz w:val="24"/>
          <w:szCs w:val="24"/>
        </w:rPr>
        <w:t xml:space="preserve">colony based weight. The trade-based variable provides an indicator of the number of HRO members in a state’s trading partners. The </w:t>
      </w:r>
      <w:r w:rsidR="004C71F4">
        <w:rPr>
          <w:rFonts w:ascii="Times New Roman" w:hAnsi="Times New Roman" w:cs="Times New Roman"/>
          <w:sz w:val="24"/>
          <w:szCs w:val="24"/>
        </w:rPr>
        <w:t xml:space="preserve">colony-based measure is the number of members in the states that were colonial holders of the territory. Neither of these measures produces statistically significant coefficients. </w:t>
      </w:r>
    </w:p>
    <w:p w:rsidR="00504C10" w:rsidRPr="00504C10" w:rsidRDefault="00504C10" w:rsidP="00504C10">
      <w:pPr>
        <w:pStyle w:val="NoSpacing"/>
        <w:rPr>
          <w:rFonts w:ascii="Times New Roman" w:hAnsi="Times New Roman" w:cs="Times New Roman"/>
          <w:sz w:val="24"/>
          <w:szCs w:val="24"/>
        </w:rPr>
      </w:pPr>
    </w:p>
    <w:p w:rsidR="00F03446" w:rsidRPr="00F03446" w:rsidRDefault="00F03446" w:rsidP="00F03446">
      <w:pPr>
        <w:pStyle w:val="NoSpacing"/>
        <w:jc w:val="center"/>
        <w:rPr>
          <w:rFonts w:ascii="Times New Roman" w:hAnsi="Times New Roman" w:cs="Times New Roman"/>
          <w:b/>
          <w:sz w:val="24"/>
          <w:szCs w:val="24"/>
        </w:rPr>
      </w:pPr>
      <w:r>
        <w:rPr>
          <w:rFonts w:ascii="Times New Roman" w:hAnsi="Times New Roman" w:cs="Times New Roman"/>
          <w:b/>
          <w:sz w:val="24"/>
          <w:szCs w:val="24"/>
        </w:rPr>
        <w:t xml:space="preserve">Table A3: Trade &amp; Colony Weighted HRO Memberships &amp; Non-Violent Protest, </w:t>
      </w:r>
      <w:r w:rsidRPr="009901E5">
        <w:rPr>
          <w:rFonts w:ascii="Times New Roman" w:hAnsi="Times New Roman" w:cs="Times New Roman"/>
          <w:b/>
          <w:sz w:val="24"/>
          <w:szCs w:val="24"/>
        </w:rPr>
        <w:t>Negative Binomial Model with Robust Standard Errors, 1991-2004</w:t>
      </w:r>
    </w:p>
    <w:tbl>
      <w:tblPr>
        <w:tblW w:w="7670" w:type="dxa"/>
        <w:jc w:val="center"/>
        <w:tblLook w:val="04A0"/>
      </w:tblPr>
      <w:tblGrid>
        <w:gridCol w:w="5404"/>
        <w:gridCol w:w="1133"/>
        <w:gridCol w:w="1133"/>
      </w:tblGrid>
      <w:tr w:rsidR="00E419A5" w:rsidRPr="00492457">
        <w:trPr>
          <w:cantSplit/>
          <w:trHeight w:val="264"/>
          <w:jc w:val="center"/>
        </w:trPr>
        <w:tc>
          <w:tcPr>
            <w:tcW w:w="5404" w:type="dxa"/>
            <w:tcBorders>
              <w:top w:val="single" w:sz="4" w:space="0" w:color="000000"/>
              <w:left w:val="nil"/>
              <w:bottom w:val="nil"/>
              <w:right w:val="nil"/>
            </w:tcBorders>
            <w:shd w:val="clear" w:color="auto" w:fill="auto"/>
            <w:noWrap/>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 </w:t>
            </w:r>
          </w:p>
        </w:tc>
        <w:tc>
          <w:tcPr>
            <w:tcW w:w="1133" w:type="dxa"/>
            <w:tcBorders>
              <w:top w:val="single" w:sz="4" w:space="0" w:color="000000"/>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Pr>
                <w:rFonts w:eastAsia="Times New Roman" w:cs="Times New Roman"/>
                <w:sz w:val="18"/>
                <w:szCs w:val="16"/>
              </w:rPr>
              <w:t>(1</w:t>
            </w:r>
            <w:r w:rsidRPr="00492457">
              <w:rPr>
                <w:rFonts w:eastAsia="Times New Roman" w:cs="Times New Roman"/>
                <w:sz w:val="18"/>
                <w:szCs w:val="16"/>
              </w:rPr>
              <w:t>)</w:t>
            </w:r>
          </w:p>
        </w:tc>
        <w:tc>
          <w:tcPr>
            <w:tcW w:w="1133" w:type="dxa"/>
            <w:tcBorders>
              <w:top w:val="single" w:sz="4" w:space="0" w:color="000000"/>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Pr>
                <w:rFonts w:eastAsia="Times New Roman" w:cs="Times New Roman"/>
                <w:sz w:val="18"/>
                <w:szCs w:val="16"/>
              </w:rPr>
              <w:t>(2</w:t>
            </w:r>
            <w:r w:rsidRPr="00492457">
              <w:rPr>
                <w:rFonts w:eastAsia="Times New Roman" w:cs="Times New Roman"/>
                <w:sz w:val="18"/>
                <w:szCs w:val="16"/>
              </w:rPr>
              <w:t>)</w:t>
            </w:r>
          </w:p>
        </w:tc>
      </w:tr>
      <w:tr w:rsidR="00E419A5" w:rsidRPr="00492457">
        <w:trPr>
          <w:cantSplit/>
          <w:trHeight w:val="264"/>
          <w:jc w:val="center"/>
        </w:trPr>
        <w:tc>
          <w:tcPr>
            <w:tcW w:w="5404" w:type="dxa"/>
            <w:tcBorders>
              <w:top w:val="nil"/>
              <w:left w:val="nil"/>
              <w:bottom w:val="nil"/>
              <w:right w:val="nil"/>
            </w:tcBorders>
            <w:shd w:val="clear" w:color="auto" w:fill="auto"/>
            <w:noWrap/>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VARIABLES</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Trade</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Colony</w:t>
            </w:r>
          </w:p>
        </w:tc>
      </w:tr>
      <w:tr w:rsidR="00E419A5" w:rsidRPr="00492457">
        <w:trPr>
          <w:cantSplit/>
          <w:trHeight w:val="264"/>
          <w:jc w:val="center"/>
        </w:trPr>
        <w:tc>
          <w:tcPr>
            <w:tcW w:w="5404" w:type="dxa"/>
            <w:tcBorders>
              <w:top w:val="single" w:sz="4" w:space="0" w:color="000000"/>
              <w:left w:val="nil"/>
              <w:bottom w:val="nil"/>
              <w:right w:val="nil"/>
            </w:tcBorders>
            <w:shd w:val="clear" w:color="auto" w:fill="auto"/>
            <w:noWrap/>
            <w:vAlign w:val="bottom"/>
          </w:tcPr>
          <w:p w:rsidR="00E419A5" w:rsidRPr="00492457" w:rsidRDefault="00E419A5" w:rsidP="009A09AE">
            <w:pPr>
              <w:rPr>
                <w:rFonts w:eastAsia="Times New Roman" w:cs="Times New Roman"/>
                <w:sz w:val="18"/>
                <w:szCs w:val="16"/>
              </w:rPr>
            </w:pPr>
          </w:p>
        </w:tc>
        <w:tc>
          <w:tcPr>
            <w:tcW w:w="1133" w:type="dxa"/>
            <w:tcBorders>
              <w:top w:val="single" w:sz="4" w:space="0" w:color="000000"/>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 </w:t>
            </w:r>
          </w:p>
        </w:tc>
        <w:tc>
          <w:tcPr>
            <w:tcW w:w="1133" w:type="dxa"/>
            <w:tcBorders>
              <w:top w:val="single" w:sz="4" w:space="0" w:color="000000"/>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 </w:t>
            </w:r>
          </w:p>
        </w:tc>
      </w:tr>
      <w:tr w:rsidR="00E419A5" w:rsidRPr="00492457">
        <w:trPr>
          <w:cantSplit/>
          <w:trHeight w:val="312"/>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 xml:space="preserve">HRO Secretariat </w:t>
            </w:r>
            <w:r w:rsidRPr="00492457">
              <w:rPr>
                <w:rFonts w:eastAsia="Times New Roman" w:cs="Times New Roman"/>
                <w:sz w:val="18"/>
                <w:szCs w:val="16"/>
                <w:vertAlign w:val="subscript"/>
              </w:rPr>
              <w:t>t-1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0.049**</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0.054**</w:t>
            </w:r>
          </w:p>
        </w:tc>
      </w:tr>
      <w:tr w:rsidR="00E419A5" w:rsidRPr="00492457">
        <w:trPr>
          <w:cantSplit/>
          <w:trHeight w:val="264"/>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(0.024)</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(0.024)</w:t>
            </w:r>
          </w:p>
        </w:tc>
      </w:tr>
      <w:tr w:rsidR="00E419A5" w:rsidRPr="00492457">
        <w:trPr>
          <w:cantSplit/>
          <w:trHeight w:val="312"/>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Neighborhood HRO Secretariat</w:t>
            </w:r>
            <w:r w:rsidRPr="00492457">
              <w:rPr>
                <w:rFonts w:eastAsia="Times New Roman" w:cs="Times New Roman"/>
                <w:sz w:val="18"/>
                <w:szCs w:val="16"/>
                <w:vertAlign w:val="subscript"/>
              </w:rPr>
              <w:t xml:space="preserve">  t-1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0.023***</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0.021***</w:t>
            </w:r>
          </w:p>
        </w:tc>
      </w:tr>
      <w:tr w:rsidR="00E419A5" w:rsidRPr="00492457">
        <w:trPr>
          <w:cantSplit/>
          <w:trHeight w:val="264"/>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(0.006)</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(0.006)</w:t>
            </w:r>
          </w:p>
        </w:tc>
      </w:tr>
      <w:tr w:rsidR="00E419A5" w:rsidRPr="00492457">
        <w:trPr>
          <w:cantSplit/>
          <w:trHeight w:val="312"/>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 xml:space="preserve">HRO Member (ln) </w:t>
            </w:r>
            <w:r w:rsidRPr="00492457">
              <w:rPr>
                <w:rFonts w:eastAsia="Times New Roman" w:cs="Times New Roman"/>
                <w:sz w:val="18"/>
                <w:szCs w:val="16"/>
                <w:vertAlign w:val="subscript"/>
              </w:rPr>
              <w:t xml:space="preserve"> t-1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0.761***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0.742***</w:t>
            </w:r>
          </w:p>
        </w:tc>
      </w:tr>
      <w:tr w:rsidR="00E419A5" w:rsidRPr="00492457">
        <w:trPr>
          <w:cantSplit/>
          <w:trHeight w:val="264"/>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(0.293)</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(0.199)</w:t>
            </w:r>
          </w:p>
        </w:tc>
      </w:tr>
      <w:tr w:rsidR="00E419A5" w:rsidRPr="00492457">
        <w:trPr>
          <w:cantSplit/>
          <w:trHeight w:val="312"/>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 xml:space="preserve">Neighborhood HRO Member (ln) </w:t>
            </w:r>
            <w:r w:rsidRPr="00492457">
              <w:rPr>
                <w:rFonts w:eastAsia="Times New Roman" w:cs="Times New Roman"/>
                <w:sz w:val="18"/>
                <w:szCs w:val="16"/>
                <w:vertAlign w:val="subscript"/>
              </w:rPr>
              <w:t>t-1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0.696***</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0.686***</w:t>
            </w:r>
          </w:p>
        </w:tc>
      </w:tr>
      <w:tr w:rsidR="00E419A5" w:rsidRPr="00492457">
        <w:trPr>
          <w:cantSplit/>
          <w:trHeight w:val="264"/>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(0.233)</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(0.215)</w:t>
            </w:r>
          </w:p>
        </w:tc>
      </w:tr>
      <w:tr w:rsidR="00E419A5" w:rsidRPr="00492457">
        <w:trPr>
          <w:cantSplit/>
          <w:trHeight w:val="312"/>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 xml:space="preserve">HRO Member (ln)  X  Neighborhood HRO Member (ln) </w:t>
            </w:r>
            <w:r w:rsidRPr="00492457">
              <w:rPr>
                <w:rFonts w:eastAsia="Times New Roman" w:cs="Times New Roman"/>
                <w:sz w:val="18"/>
                <w:szCs w:val="16"/>
                <w:vertAlign w:val="subscript"/>
              </w:rPr>
              <w:t>t-1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-0.231***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-0.237***</w:t>
            </w:r>
          </w:p>
        </w:tc>
      </w:tr>
      <w:tr w:rsidR="00E419A5" w:rsidRPr="00492457">
        <w:trPr>
          <w:cantSplit/>
          <w:trHeight w:val="264"/>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(0.067)</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(0.059)</w:t>
            </w:r>
          </w:p>
        </w:tc>
      </w:tr>
      <w:tr w:rsidR="00E419A5" w:rsidRPr="00492457">
        <w:trPr>
          <w:cantSplit/>
          <w:trHeight w:val="312"/>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 xml:space="preserve">HRO Secretariat (ln)  X  Neighborhood HRO Member (ln) </w:t>
            </w:r>
            <w:r w:rsidRPr="00492457">
              <w:rPr>
                <w:rFonts w:eastAsia="Times New Roman" w:cs="Times New Roman"/>
                <w:sz w:val="18"/>
                <w:szCs w:val="16"/>
                <w:vertAlign w:val="subscript"/>
              </w:rPr>
              <w:t>t-1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-0.012*</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-0.013**</w:t>
            </w:r>
          </w:p>
        </w:tc>
      </w:tr>
      <w:tr w:rsidR="00E419A5" w:rsidRPr="00492457">
        <w:trPr>
          <w:cantSplit/>
          <w:trHeight w:val="264"/>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(0.006)</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(0.006)</w:t>
            </w:r>
          </w:p>
        </w:tc>
      </w:tr>
      <w:tr w:rsidR="00E419A5" w:rsidRPr="00492457">
        <w:trPr>
          <w:cantSplit/>
          <w:trHeight w:val="312"/>
          <w:jc w:val="center"/>
        </w:trPr>
        <w:tc>
          <w:tcPr>
            <w:tcW w:w="5404" w:type="dxa"/>
            <w:tcBorders>
              <w:top w:val="nil"/>
              <w:left w:val="nil"/>
              <w:bottom w:val="nil"/>
              <w:right w:val="nil"/>
            </w:tcBorders>
            <w:shd w:val="clear" w:color="auto" w:fill="auto"/>
            <w:noWrap/>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 xml:space="preserve">Trade-Weighted HRO Member (ln) </w:t>
            </w:r>
            <w:r w:rsidRPr="00492457">
              <w:rPr>
                <w:rFonts w:eastAsia="Times New Roman" w:cs="Times New Roman"/>
                <w:sz w:val="18"/>
                <w:szCs w:val="16"/>
                <w:vertAlign w:val="subscript"/>
              </w:rPr>
              <w:t>t-1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-0.291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p>
        </w:tc>
      </w:tr>
      <w:tr w:rsidR="00E419A5" w:rsidRPr="00492457">
        <w:trPr>
          <w:cantSplit/>
          <w:trHeight w:val="264"/>
          <w:jc w:val="center"/>
        </w:trPr>
        <w:tc>
          <w:tcPr>
            <w:tcW w:w="5404" w:type="dxa"/>
            <w:tcBorders>
              <w:top w:val="nil"/>
              <w:left w:val="nil"/>
              <w:bottom w:val="nil"/>
              <w:right w:val="nil"/>
            </w:tcBorders>
            <w:shd w:val="clear" w:color="auto" w:fill="auto"/>
            <w:noWrap/>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(0.246)</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p>
        </w:tc>
      </w:tr>
      <w:tr w:rsidR="00E419A5" w:rsidRPr="00492457">
        <w:trPr>
          <w:cantSplit/>
          <w:trHeight w:val="312"/>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 xml:space="preserve">HRO Member (ln)  X  Trade-Weighted HRO Member (ln) </w:t>
            </w:r>
            <w:r w:rsidRPr="00492457">
              <w:rPr>
                <w:rFonts w:eastAsia="Times New Roman" w:cs="Times New Roman"/>
                <w:sz w:val="18"/>
                <w:szCs w:val="16"/>
                <w:vertAlign w:val="subscript"/>
              </w:rPr>
              <w:t>t-1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-0.001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p>
        </w:tc>
      </w:tr>
      <w:tr w:rsidR="00E419A5" w:rsidRPr="00492457">
        <w:trPr>
          <w:cantSplit/>
          <w:trHeight w:val="264"/>
          <w:jc w:val="center"/>
        </w:trPr>
        <w:tc>
          <w:tcPr>
            <w:tcW w:w="5404" w:type="dxa"/>
            <w:tcBorders>
              <w:top w:val="nil"/>
              <w:left w:val="nil"/>
              <w:bottom w:val="nil"/>
              <w:right w:val="nil"/>
            </w:tcBorders>
            <w:shd w:val="clear" w:color="auto" w:fill="auto"/>
            <w:noWrap/>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(0.085)</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p>
        </w:tc>
      </w:tr>
      <w:tr w:rsidR="00E419A5" w:rsidRPr="00492457">
        <w:trPr>
          <w:cantSplit/>
          <w:trHeight w:val="312"/>
          <w:jc w:val="center"/>
        </w:trPr>
        <w:tc>
          <w:tcPr>
            <w:tcW w:w="5404" w:type="dxa"/>
            <w:tcBorders>
              <w:top w:val="nil"/>
              <w:left w:val="nil"/>
              <w:bottom w:val="nil"/>
              <w:right w:val="nil"/>
            </w:tcBorders>
            <w:shd w:val="clear" w:color="auto" w:fill="auto"/>
            <w:noWrap/>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 xml:space="preserve">Colonial-linkage HRO Member (ln) </w:t>
            </w:r>
            <w:r w:rsidRPr="00492457">
              <w:rPr>
                <w:rFonts w:eastAsia="Times New Roman" w:cs="Times New Roman"/>
                <w:sz w:val="18"/>
                <w:szCs w:val="16"/>
                <w:vertAlign w:val="subscript"/>
              </w:rPr>
              <w:t>t-1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0.056</w:t>
            </w:r>
          </w:p>
        </w:tc>
      </w:tr>
      <w:tr w:rsidR="00E419A5" w:rsidRPr="00492457">
        <w:trPr>
          <w:cantSplit/>
          <w:trHeight w:val="264"/>
          <w:jc w:val="center"/>
        </w:trPr>
        <w:tc>
          <w:tcPr>
            <w:tcW w:w="5404" w:type="dxa"/>
            <w:tcBorders>
              <w:top w:val="nil"/>
              <w:left w:val="nil"/>
              <w:bottom w:val="nil"/>
              <w:right w:val="nil"/>
            </w:tcBorders>
            <w:shd w:val="clear" w:color="auto" w:fill="auto"/>
            <w:noWrap/>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(0.071)</w:t>
            </w:r>
          </w:p>
        </w:tc>
      </w:tr>
      <w:tr w:rsidR="00E419A5" w:rsidRPr="00492457">
        <w:trPr>
          <w:cantSplit/>
          <w:trHeight w:val="312"/>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 xml:space="preserve">HRO Secretariat (ln)  X  Colonial-linkage HRO Member (ln) </w:t>
            </w:r>
            <w:r w:rsidRPr="00492457">
              <w:rPr>
                <w:rFonts w:eastAsia="Times New Roman" w:cs="Times New Roman"/>
                <w:sz w:val="18"/>
                <w:szCs w:val="16"/>
                <w:vertAlign w:val="subscript"/>
              </w:rPr>
              <w:t>t-1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-0.018</w:t>
            </w:r>
          </w:p>
        </w:tc>
      </w:tr>
      <w:tr w:rsidR="00E419A5" w:rsidRPr="00492457">
        <w:trPr>
          <w:cantSplit/>
          <w:trHeight w:val="264"/>
          <w:jc w:val="center"/>
        </w:trPr>
        <w:tc>
          <w:tcPr>
            <w:tcW w:w="5404" w:type="dxa"/>
            <w:tcBorders>
              <w:top w:val="nil"/>
              <w:left w:val="nil"/>
              <w:bottom w:val="nil"/>
              <w:right w:val="nil"/>
            </w:tcBorders>
            <w:shd w:val="clear" w:color="auto" w:fill="auto"/>
            <w:noWrap/>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(0.019)</w:t>
            </w:r>
          </w:p>
        </w:tc>
      </w:tr>
      <w:tr w:rsidR="00E419A5" w:rsidRPr="00492457">
        <w:trPr>
          <w:cantSplit/>
          <w:trHeight w:val="312"/>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 xml:space="preserve">Violent Protest </w:t>
            </w:r>
            <w:r w:rsidRPr="00492457">
              <w:rPr>
                <w:rFonts w:eastAsia="Times New Roman" w:cs="Times New Roman"/>
                <w:sz w:val="18"/>
                <w:szCs w:val="16"/>
                <w:vertAlign w:val="subscript"/>
              </w:rPr>
              <w:t>t-1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0.002**</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0.002**</w:t>
            </w:r>
          </w:p>
        </w:tc>
      </w:tr>
      <w:tr w:rsidR="00E419A5" w:rsidRPr="00492457">
        <w:trPr>
          <w:cantSplit/>
          <w:trHeight w:val="264"/>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(0.001)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(0.001)</w:t>
            </w:r>
          </w:p>
        </w:tc>
      </w:tr>
      <w:tr w:rsidR="00E419A5" w:rsidRPr="00492457">
        <w:trPr>
          <w:cantSplit/>
          <w:trHeight w:val="312"/>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 xml:space="preserve">Non-Violent Protest </w:t>
            </w:r>
            <w:r w:rsidRPr="00492457">
              <w:rPr>
                <w:rFonts w:eastAsia="Times New Roman" w:cs="Times New Roman"/>
                <w:sz w:val="18"/>
                <w:szCs w:val="16"/>
                <w:vertAlign w:val="subscript"/>
              </w:rPr>
              <w:t>t-1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0.005***</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0.005***</w:t>
            </w:r>
          </w:p>
        </w:tc>
      </w:tr>
      <w:tr w:rsidR="00E419A5" w:rsidRPr="00492457">
        <w:trPr>
          <w:cantSplit/>
          <w:trHeight w:val="264"/>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(0.002)</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(0.002)</w:t>
            </w:r>
          </w:p>
        </w:tc>
      </w:tr>
      <w:tr w:rsidR="00E419A5" w:rsidRPr="00492457">
        <w:trPr>
          <w:cantSplit/>
          <w:trHeight w:val="312"/>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 xml:space="preserve">Neighborhood Non-Violent Protest </w:t>
            </w:r>
            <w:r w:rsidRPr="00492457">
              <w:rPr>
                <w:rFonts w:eastAsia="Times New Roman" w:cs="Times New Roman"/>
                <w:sz w:val="18"/>
                <w:szCs w:val="16"/>
                <w:vertAlign w:val="subscript"/>
              </w:rPr>
              <w:t>t-1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-0.004***</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-0.004**</w:t>
            </w:r>
          </w:p>
        </w:tc>
      </w:tr>
      <w:tr w:rsidR="00E419A5" w:rsidRPr="00492457">
        <w:trPr>
          <w:cantSplit/>
          <w:trHeight w:val="264"/>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(0.002)</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(0.002)</w:t>
            </w:r>
          </w:p>
        </w:tc>
      </w:tr>
      <w:tr w:rsidR="00E419A5" w:rsidRPr="00492457">
        <w:trPr>
          <w:cantSplit/>
          <w:trHeight w:val="312"/>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 xml:space="preserve">Neighborhood Physical Integrity Rights Index (CIRI) </w:t>
            </w:r>
            <w:r w:rsidRPr="00492457">
              <w:rPr>
                <w:rFonts w:eastAsia="Times New Roman" w:cs="Times New Roman"/>
                <w:sz w:val="18"/>
                <w:szCs w:val="16"/>
                <w:vertAlign w:val="subscript"/>
              </w:rPr>
              <w:t>t-1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0.020</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0.014</w:t>
            </w:r>
          </w:p>
        </w:tc>
      </w:tr>
      <w:tr w:rsidR="00E419A5" w:rsidRPr="00492457">
        <w:trPr>
          <w:cantSplit/>
          <w:trHeight w:val="264"/>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(0.016)</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(0.016)</w:t>
            </w:r>
          </w:p>
        </w:tc>
      </w:tr>
      <w:tr w:rsidR="00E419A5" w:rsidRPr="00492457">
        <w:trPr>
          <w:cantSplit/>
          <w:trHeight w:val="312"/>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 xml:space="preserve">Physical Integrity Rights Index (CIRI) </w:t>
            </w:r>
            <w:r w:rsidRPr="00492457">
              <w:rPr>
                <w:rFonts w:eastAsia="Times New Roman" w:cs="Times New Roman"/>
                <w:sz w:val="18"/>
                <w:szCs w:val="16"/>
                <w:vertAlign w:val="subscript"/>
              </w:rPr>
              <w:t>t-1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-0.062***</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-0.058***</w:t>
            </w:r>
          </w:p>
        </w:tc>
      </w:tr>
      <w:tr w:rsidR="00E419A5" w:rsidRPr="00492457">
        <w:trPr>
          <w:cantSplit/>
          <w:trHeight w:val="264"/>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(0.017)</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(0.017)</w:t>
            </w:r>
          </w:p>
        </w:tc>
      </w:tr>
      <w:tr w:rsidR="00E419A5" w:rsidRPr="00492457">
        <w:trPr>
          <w:cantSplit/>
          <w:trHeight w:val="312"/>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 xml:space="preserve">Population (ln) </w:t>
            </w:r>
            <w:r w:rsidRPr="00492457">
              <w:rPr>
                <w:rFonts w:eastAsia="Times New Roman" w:cs="Times New Roman"/>
                <w:sz w:val="18"/>
                <w:szCs w:val="16"/>
                <w:vertAlign w:val="subscript"/>
              </w:rPr>
              <w:t>t-1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0.224***</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0.235***</w:t>
            </w:r>
          </w:p>
        </w:tc>
      </w:tr>
      <w:tr w:rsidR="00E419A5" w:rsidRPr="00492457">
        <w:trPr>
          <w:cantSplit/>
          <w:trHeight w:val="264"/>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(0.030)</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(0.032)</w:t>
            </w:r>
          </w:p>
        </w:tc>
      </w:tr>
      <w:tr w:rsidR="00E419A5" w:rsidRPr="00492457">
        <w:trPr>
          <w:cantSplit/>
          <w:trHeight w:val="312"/>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 xml:space="preserve">GDP per Capita (ln) </w:t>
            </w:r>
            <w:r w:rsidRPr="00492457">
              <w:rPr>
                <w:rFonts w:eastAsia="Times New Roman" w:cs="Times New Roman"/>
                <w:sz w:val="18"/>
                <w:szCs w:val="16"/>
                <w:vertAlign w:val="subscript"/>
              </w:rPr>
              <w:t xml:space="preserve"> t-1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0.033</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0.025</w:t>
            </w:r>
          </w:p>
        </w:tc>
      </w:tr>
      <w:tr w:rsidR="00E419A5" w:rsidRPr="00492457">
        <w:trPr>
          <w:cantSplit/>
          <w:trHeight w:val="264"/>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(0.028)</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(0.029)</w:t>
            </w:r>
          </w:p>
        </w:tc>
      </w:tr>
      <w:tr w:rsidR="00E419A5" w:rsidRPr="00492457">
        <w:trPr>
          <w:cantSplit/>
          <w:trHeight w:val="312"/>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 xml:space="preserve">War (Interstate or Intrastate) </w:t>
            </w:r>
            <w:r w:rsidRPr="00492457">
              <w:rPr>
                <w:rFonts w:eastAsia="Times New Roman" w:cs="Times New Roman"/>
                <w:sz w:val="18"/>
                <w:szCs w:val="16"/>
                <w:vertAlign w:val="subscript"/>
              </w:rPr>
              <w:t>t-1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-0.232**</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-0.203*</w:t>
            </w:r>
          </w:p>
        </w:tc>
      </w:tr>
      <w:tr w:rsidR="00E419A5" w:rsidRPr="00492457">
        <w:trPr>
          <w:cantSplit/>
          <w:trHeight w:val="264"/>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(0.103)</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(0.110)</w:t>
            </w:r>
          </w:p>
        </w:tc>
      </w:tr>
      <w:tr w:rsidR="00E419A5" w:rsidRPr="00492457">
        <w:trPr>
          <w:cantSplit/>
          <w:trHeight w:val="312"/>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 xml:space="preserve">Polity Score (-10 to 10) </w:t>
            </w:r>
            <w:r w:rsidRPr="00492457">
              <w:rPr>
                <w:rFonts w:eastAsia="Times New Roman" w:cs="Times New Roman"/>
                <w:sz w:val="18"/>
                <w:szCs w:val="16"/>
                <w:vertAlign w:val="subscript"/>
              </w:rPr>
              <w:t>t-1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0.013***</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0.014***</w:t>
            </w:r>
          </w:p>
        </w:tc>
      </w:tr>
      <w:tr w:rsidR="00E419A5" w:rsidRPr="00492457">
        <w:trPr>
          <w:cantSplit/>
          <w:trHeight w:val="264"/>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(0.005)</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(0.005)</w:t>
            </w:r>
          </w:p>
        </w:tc>
      </w:tr>
      <w:tr w:rsidR="00E419A5" w:rsidRPr="00492457">
        <w:trPr>
          <w:cantSplit/>
          <w:trHeight w:val="312"/>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 xml:space="preserve">IDEA Coverage (ln) </w:t>
            </w:r>
            <w:r w:rsidRPr="00492457">
              <w:rPr>
                <w:rFonts w:eastAsia="Times New Roman" w:cs="Times New Roman"/>
                <w:sz w:val="18"/>
                <w:szCs w:val="16"/>
                <w:vertAlign w:val="subscript"/>
              </w:rPr>
              <w:t>t-1</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0.475***</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0.482***</w:t>
            </w:r>
          </w:p>
        </w:tc>
      </w:tr>
      <w:tr w:rsidR="00E419A5" w:rsidRPr="00492457">
        <w:trPr>
          <w:cantSplit/>
          <w:trHeight w:val="264"/>
          <w:jc w:val="center"/>
        </w:trPr>
        <w:tc>
          <w:tcPr>
            <w:tcW w:w="5404" w:type="dxa"/>
            <w:tcBorders>
              <w:top w:val="nil"/>
              <w:left w:val="nil"/>
              <w:bottom w:val="nil"/>
              <w:right w:val="nil"/>
            </w:tcBorders>
            <w:shd w:val="clear" w:color="auto" w:fill="auto"/>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(0.034)</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(0.034)</w:t>
            </w:r>
          </w:p>
        </w:tc>
      </w:tr>
      <w:tr w:rsidR="00E419A5" w:rsidRPr="00492457">
        <w:trPr>
          <w:cantSplit/>
          <w:trHeight w:val="264"/>
          <w:jc w:val="center"/>
        </w:trPr>
        <w:tc>
          <w:tcPr>
            <w:tcW w:w="5404" w:type="dxa"/>
            <w:tcBorders>
              <w:top w:val="nil"/>
              <w:left w:val="nil"/>
              <w:bottom w:val="nil"/>
              <w:right w:val="nil"/>
            </w:tcBorders>
            <w:shd w:val="clear" w:color="auto" w:fill="auto"/>
            <w:noWrap/>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Constant</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-6.769***</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-7.936***</w:t>
            </w:r>
          </w:p>
        </w:tc>
      </w:tr>
      <w:tr w:rsidR="00E419A5" w:rsidRPr="00492457">
        <w:trPr>
          <w:cantSplit/>
          <w:trHeight w:val="264"/>
          <w:jc w:val="center"/>
        </w:trPr>
        <w:tc>
          <w:tcPr>
            <w:tcW w:w="5404" w:type="dxa"/>
            <w:tcBorders>
              <w:top w:val="nil"/>
              <w:left w:val="nil"/>
              <w:bottom w:val="nil"/>
              <w:right w:val="nil"/>
            </w:tcBorders>
            <w:shd w:val="clear" w:color="auto" w:fill="auto"/>
            <w:noWrap/>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(1.055)</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(0.889)</w:t>
            </w:r>
          </w:p>
        </w:tc>
      </w:tr>
      <w:tr w:rsidR="00E419A5" w:rsidRPr="00492457">
        <w:trPr>
          <w:cantSplit/>
          <w:trHeight w:val="264"/>
          <w:jc w:val="center"/>
        </w:trPr>
        <w:tc>
          <w:tcPr>
            <w:tcW w:w="5404" w:type="dxa"/>
            <w:tcBorders>
              <w:top w:val="nil"/>
              <w:left w:val="nil"/>
              <w:bottom w:val="nil"/>
              <w:right w:val="nil"/>
            </w:tcBorders>
            <w:shd w:val="clear" w:color="auto" w:fill="auto"/>
            <w:noWrap/>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Ln alpha</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-0.914***</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-0.905***</w:t>
            </w:r>
          </w:p>
        </w:tc>
      </w:tr>
      <w:tr w:rsidR="00E419A5" w:rsidRPr="00492457">
        <w:trPr>
          <w:cantSplit/>
          <w:trHeight w:val="264"/>
          <w:jc w:val="center"/>
        </w:trPr>
        <w:tc>
          <w:tcPr>
            <w:tcW w:w="5404" w:type="dxa"/>
            <w:tcBorders>
              <w:top w:val="nil"/>
              <w:left w:val="nil"/>
              <w:bottom w:val="nil"/>
              <w:right w:val="nil"/>
            </w:tcBorders>
            <w:shd w:val="clear" w:color="auto" w:fill="auto"/>
            <w:noWrap/>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(0.078)</w:t>
            </w: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(0.078)</w:t>
            </w:r>
          </w:p>
        </w:tc>
      </w:tr>
      <w:tr w:rsidR="00E419A5" w:rsidRPr="00492457">
        <w:trPr>
          <w:cantSplit/>
          <w:trHeight w:val="264"/>
          <w:jc w:val="center"/>
        </w:trPr>
        <w:tc>
          <w:tcPr>
            <w:tcW w:w="5404" w:type="dxa"/>
            <w:tcBorders>
              <w:top w:val="nil"/>
              <w:left w:val="nil"/>
              <w:bottom w:val="nil"/>
              <w:right w:val="nil"/>
            </w:tcBorders>
            <w:shd w:val="clear" w:color="auto" w:fill="auto"/>
            <w:noWrap/>
            <w:vAlign w:val="bottom"/>
          </w:tcPr>
          <w:p w:rsidR="00E419A5" w:rsidRPr="00492457" w:rsidRDefault="00E419A5" w:rsidP="009A09AE">
            <w:pP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p>
        </w:tc>
        <w:tc>
          <w:tcPr>
            <w:tcW w:w="1133" w:type="dxa"/>
            <w:tcBorders>
              <w:top w:val="nil"/>
              <w:left w:val="nil"/>
              <w:bottom w:val="nil"/>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p>
        </w:tc>
      </w:tr>
      <w:tr w:rsidR="00E419A5" w:rsidRPr="00492457">
        <w:trPr>
          <w:cantSplit/>
          <w:trHeight w:val="264"/>
          <w:jc w:val="center"/>
        </w:trPr>
        <w:tc>
          <w:tcPr>
            <w:tcW w:w="5404" w:type="dxa"/>
            <w:tcBorders>
              <w:top w:val="nil"/>
              <w:left w:val="nil"/>
              <w:bottom w:val="single" w:sz="4" w:space="0" w:color="000000"/>
              <w:right w:val="nil"/>
            </w:tcBorders>
            <w:shd w:val="clear" w:color="auto" w:fill="auto"/>
            <w:noWrap/>
            <w:vAlign w:val="bottom"/>
          </w:tcPr>
          <w:p w:rsidR="00E419A5" w:rsidRPr="00492457" w:rsidRDefault="00E419A5" w:rsidP="009A09AE">
            <w:pPr>
              <w:rPr>
                <w:rFonts w:eastAsia="Times New Roman" w:cs="Times New Roman"/>
                <w:sz w:val="18"/>
                <w:szCs w:val="16"/>
              </w:rPr>
            </w:pPr>
            <w:r w:rsidRPr="00492457">
              <w:rPr>
                <w:rFonts w:eastAsia="Times New Roman" w:cs="Times New Roman"/>
                <w:sz w:val="18"/>
                <w:szCs w:val="16"/>
              </w:rPr>
              <w:t>Observations</w:t>
            </w:r>
          </w:p>
        </w:tc>
        <w:tc>
          <w:tcPr>
            <w:tcW w:w="1133" w:type="dxa"/>
            <w:tcBorders>
              <w:top w:val="nil"/>
              <w:left w:val="nil"/>
              <w:bottom w:val="single" w:sz="4" w:space="0" w:color="000000"/>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1,546</w:t>
            </w:r>
          </w:p>
        </w:tc>
        <w:tc>
          <w:tcPr>
            <w:tcW w:w="1133" w:type="dxa"/>
            <w:tcBorders>
              <w:top w:val="nil"/>
              <w:left w:val="nil"/>
              <w:bottom w:val="single" w:sz="4" w:space="0" w:color="000000"/>
              <w:right w:val="nil"/>
            </w:tcBorders>
            <w:shd w:val="clear" w:color="auto" w:fill="auto"/>
            <w:noWrap/>
            <w:vAlign w:val="bottom"/>
          </w:tcPr>
          <w:p w:rsidR="00E419A5" w:rsidRPr="00492457" w:rsidRDefault="00E419A5" w:rsidP="009A09AE">
            <w:pPr>
              <w:jc w:val="center"/>
              <w:rPr>
                <w:rFonts w:eastAsia="Times New Roman" w:cs="Times New Roman"/>
                <w:sz w:val="18"/>
                <w:szCs w:val="16"/>
              </w:rPr>
            </w:pPr>
            <w:r w:rsidRPr="00492457">
              <w:rPr>
                <w:rFonts w:eastAsia="Times New Roman" w:cs="Times New Roman"/>
                <w:sz w:val="18"/>
                <w:szCs w:val="16"/>
              </w:rPr>
              <w:t>1,532</w:t>
            </w:r>
          </w:p>
        </w:tc>
      </w:tr>
    </w:tbl>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Default="00996E10" w:rsidP="00683A36">
      <w:pPr>
        <w:rPr>
          <w:b/>
        </w:rPr>
      </w:pPr>
    </w:p>
    <w:p w:rsidR="00996E10" w:rsidRPr="004C71F4" w:rsidRDefault="004C71F4" w:rsidP="00683A36">
      <w:r>
        <w:t xml:space="preserve">This figure presents the extent to which the effect of neighborhood HRO member presence is conditioned by the presence of a domestic secretariat. While the figures show that the effect of neighboring HROs declines as the number of local HRO secretariats is increased (the slightly downward sloping line in each figure), the three plots demonstrate, that local HRO membership has a much stronger conditioning effect than local HRO secretariats. </w:t>
      </w:r>
    </w:p>
    <w:p w:rsidR="00996E10" w:rsidRDefault="00996E10" w:rsidP="00683A36">
      <w:pPr>
        <w:rPr>
          <w:b/>
        </w:rPr>
      </w:pPr>
    </w:p>
    <w:p w:rsidR="00996E10" w:rsidRDefault="00996E10" w:rsidP="00996E10">
      <w:pPr>
        <w:spacing w:line="480" w:lineRule="auto"/>
        <w:rPr>
          <w:rFonts w:cs="Times New Roman"/>
          <w:b/>
        </w:rPr>
      </w:pPr>
      <w:r>
        <w:rPr>
          <w:rFonts w:cs="Times New Roman"/>
          <w:b/>
        </w:rPr>
        <w:t>Figure</w:t>
      </w:r>
      <w:bookmarkStart w:id="0" w:name="_GoBack"/>
      <w:bookmarkEnd w:id="0"/>
      <w:r>
        <w:rPr>
          <w:rFonts w:cs="Times New Roman"/>
          <w:b/>
        </w:rPr>
        <w:t xml:space="preserve"> A1</w:t>
      </w:r>
      <w:r w:rsidRPr="00283F5B">
        <w:rPr>
          <w:rFonts w:cs="Times New Roman"/>
          <w:b/>
        </w:rPr>
        <w:t>: Neighborhood HRO Members Conditioned by Domestic Secretariat</w:t>
      </w:r>
    </w:p>
    <w:p w:rsidR="00996E10" w:rsidRDefault="00996E10" w:rsidP="00683A36">
      <w:pPr>
        <w:rPr>
          <w:b/>
        </w:rPr>
      </w:pPr>
    </w:p>
    <w:p w:rsidR="00996E10" w:rsidRDefault="00996E10" w:rsidP="00683A36">
      <w:pPr>
        <w:rPr>
          <w:b/>
        </w:rPr>
      </w:pPr>
    </w:p>
    <w:p w:rsidR="009A09AE" w:rsidRPr="00683A36" w:rsidRDefault="00996E10" w:rsidP="00683A36">
      <w:pPr>
        <w:rPr>
          <w:b/>
        </w:rPr>
      </w:pPr>
      <w:r w:rsidRPr="00996E10">
        <w:rPr>
          <w:b/>
          <w:noProof/>
        </w:rPr>
        <w:drawing>
          <wp:inline distT="0" distB="0" distL="0" distR="0">
            <wp:extent cx="5029200" cy="3657600"/>
            <wp:effectExtent l="2540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srcRect/>
                    <a:stretch>
                      <a:fillRect/>
                    </a:stretch>
                  </pic:blipFill>
                  <pic:spPr bwMode="auto">
                    <a:xfrm>
                      <a:off x="0" y="0"/>
                      <a:ext cx="5029200" cy="3657600"/>
                    </a:xfrm>
                    <a:prstGeom prst="rect">
                      <a:avLst/>
                    </a:prstGeom>
                    <a:noFill/>
                    <a:ln w="9525">
                      <a:noFill/>
                      <a:miter lim="800000"/>
                      <a:headEnd/>
                      <a:tailEnd/>
                    </a:ln>
                  </pic:spPr>
                </pic:pic>
              </a:graphicData>
            </a:graphic>
          </wp:inline>
        </w:drawing>
      </w:r>
    </w:p>
    <w:sectPr w:rsidR="009A09AE" w:rsidRPr="00683A36" w:rsidSect="009A09A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83A36"/>
    <w:rsid w:val="00145BA3"/>
    <w:rsid w:val="004C71F4"/>
    <w:rsid w:val="00504C10"/>
    <w:rsid w:val="00683A36"/>
    <w:rsid w:val="00800D9D"/>
    <w:rsid w:val="00996E10"/>
    <w:rsid w:val="009A09AE"/>
    <w:rsid w:val="00E419A5"/>
    <w:rsid w:val="00F03446"/>
  </w:rsids>
  <m:mathPr>
    <m:mathFont m:val="Consola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E0F"/>
    <w:rPr>
      <w:rFonts w:ascii="Times New Roman" w:hAnsi="Times New Roman"/>
      <w:sz w:val="24"/>
      <w:szCs w:val="24"/>
    </w:rPr>
  </w:style>
  <w:style w:type="paragraph" w:styleId="Heading1">
    <w:name w:val="heading 1"/>
    <w:basedOn w:val="Normal"/>
    <w:link w:val="Heading1Char"/>
    <w:uiPriority w:val="9"/>
    <w:qFormat/>
    <w:rsid w:val="00683A36"/>
    <w:pPr>
      <w:spacing w:before="100" w:beforeAutospacing="1" w:after="100" w:afterAutospacing="1"/>
      <w:outlineLvl w:val="0"/>
    </w:pPr>
    <w:rPr>
      <w:rFonts w:eastAsia="Times New Roman" w:cs="Times New Roman"/>
      <w:b/>
      <w:bCs/>
      <w:kern w:val="36"/>
      <w:sz w:val="48"/>
      <w:szCs w:val="4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683A36"/>
    <w:rPr>
      <w:rFonts w:ascii="Times New Roman" w:eastAsia="Times New Roman" w:hAnsi="Times New Roman" w:cs="Times New Roman"/>
      <w:b/>
      <w:bCs/>
      <w:kern w:val="36"/>
      <w:sz w:val="48"/>
      <w:szCs w:val="48"/>
    </w:rPr>
  </w:style>
  <w:style w:type="paragraph" w:styleId="BalloonText">
    <w:name w:val="Balloon Text"/>
    <w:basedOn w:val="Normal"/>
    <w:link w:val="BalloonTextChar1"/>
    <w:uiPriority w:val="99"/>
    <w:semiHidden/>
    <w:unhideWhenUsed/>
    <w:rsid w:val="00683A36"/>
    <w:rPr>
      <w:rFonts w:ascii="Tahoma" w:eastAsiaTheme="minorEastAsia" w:hAnsi="Tahoma" w:cs="Tahoma"/>
      <w:sz w:val="16"/>
      <w:szCs w:val="16"/>
    </w:rPr>
  </w:style>
  <w:style w:type="character" w:customStyle="1" w:styleId="BalloonTextChar1">
    <w:name w:val="Balloon Text Char1"/>
    <w:basedOn w:val="DefaultParagraphFont"/>
    <w:link w:val="BalloonText"/>
    <w:uiPriority w:val="99"/>
    <w:semiHidden/>
    <w:rsid w:val="00683A36"/>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83A36"/>
    <w:rPr>
      <w:rFonts w:ascii="Lucida Grande" w:hAnsi="Lucida Grande"/>
      <w:sz w:val="18"/>
      <w:szCs w:val="18"/>
    </w:rPr>
  </w:style>
  <w:style w:type="character" w:customStyle="1" w:styleId="PlainTextChar">
    <w:name w:val="Plain Text Char"/>
    <w:basedOn w:val="DefaultParagraphFont"/>
    <w:link w:val="PlainText"/>
    <w:uiPriority w:val="99"/>
    <w:rsid w:val="00683A36"/>
    <w:rPr>
      <w:rFonts w:ascii="Consolas" w:eastAsiaTheme="minorEastAsia" w:hAnsi="Consolas"/>
      <w:sz w:val="21"/>
      <w:szCs w:val="21"/>
    </w:rPr>
  </w:style>
  <w:style w:type="paragraph" w:styleId="PlainText">
    <w:name w:val="Plain Text"/>
    <w:basedOn w:val="Normal"/>
    <w:link w:val="PlainTextChar"/>
    <w:uiPriority w:val="99"/>
    <w:unhideWhenUsed/>
    <w:rsid w:val="00683A36"/>
    <w:rPr>
      <w:rFonts w:ascii="Consolas" w:eastAsiaTheme="minorEastAsia" w:hAnsi="Consolas"/>
      <w:sz w:val="21"/>
      <w:szCs w:val="21"/>
    </w:rPr>
  </w:style>
  <w:style w:type="character" w:customStyle="1" w:styleId="FootnoteTextChar">
    <w:name w:val="Footnote Text Char"/>
    <w:basedOn w:val="DefaultParagraphFont"/>
    <w:link w:val="FootnoteText"/>
    <w:rsid w:val="00683A36"/>
    <w:rPr>
      <w:rFonts w:eastAsiaTheme="minorEastAsia"/>
    </w:rPr>
  </w:style>
  <w:style w:type="paragraph" w:styleId="FootnoteText">
    <w:name w:val="footnote text"/>
    <w:basedOn w:val="Normal"/>
    <w:link w:val="FootnoteTextChar"/>
    <w:unhideWhenUsed/>
    <w:rsid w:val="00683A36"/>
    <w:rPr>
      <w:rFonts w:asciiTheme="minorHAnsi" w:eastAsiaTheme="minorEastAsia" w:hAnsiTheme="minorHAnsi"/>
      <w:sz w:val="20"/>
      <w:szCs w:val="20"/>
    </w:rPr>
  </w:style>
  <w:style w:type="character" w:customStyle="1" w:styleId="HeaderChar">
    <w:name w:val="Header Char"/>
    <w:basedOn w:val="DefaultParagraphFont"/>
    <w:link w:val="Header"/>
    <w:uiPriority w:val="99"/>
    <w:rsid w:val="00683A36"/>
    <w:rPr>
      <w:rFonts w:eastAsiaTheme="minorEastAsia"/>
      <w:sz w:val="22"/>
      <w:szCs w:val="22"/>
    </w:rPr>
  </w:style>
  <w:style w:type="paragraph" w:styleId="Header">
    <w:name w:val="header"/>
    <w:basedOn w:val="Normal"/>
    <w:link w:val="HeaderChar"/>
    <w:uiPriority w:val="99"/>
    <w:unhideWhenUsed/>
    <w:rsid w:val="00683A36"/>
    <w:pPr>
      <w:tabs>
        <w:tab w:val="center" w:pos="4680"/>
        <w:tab w:val="right" w:pos="9360"/>
      </w:tabs>
    </w:pPr>
    <w:rPr>
      <w:rFonts w:asciiTheme="minorHAnsi" w:eastAsiaTheme="minorEastAsia" w:hAnsiTheme="minorHAnsi"/>
      <w:sz w:val="22"/>
      <w:szCs w:val="22"/>
    </w:rPr>
  </w:style>
  <w:style w:type="character" w:customStyle="1" w:styleId="FooterChar">
    <w:name w:val="Footer Char"/>
    <w:basedOn w:val="DefaultParagraphFont"/>
    <w:link w:val="Footer"/>
    <w:uiPriority w:val="99"/>
    <w:rsid w:val="00683A36"/>
    <w:rPr>
      <w:rFonts w:eastAsiaTheme="minorEastAsia"/>
      <w:sz w:val="22"/>
      <w:szCs w:val="22"/>
    </w:rPr>
  </w:style>
  <w:style w:type="paragraph" w:styleId="Footer">
    <w:name w:val="footer"/>
    <w:basedOn w:val="Normal"/>
    <w:link w:val="FooterChar"/>
    <w:uiPriority w:val="99"/>
    <w:unhideWhenUsed/>
    <w:rsid w:val="00683A36"/>
    <w:pPr>
      <w:tabs>
        <w:tab w:val="center" w:pos="4680"/>
        <w:tab w:val="right" w:pos="9360"/>
      </w:tabs>
    </w:pPr>
    <w:rPr>
      <w:rFonts w:asciiTheme="minorHAnsi" w:eastAsiaTheme="minorEastAsia" w:hAnsiTheme="minorHAnsi"/>
      <w:sz w:val="22"/>
      <w:szCs w:val="22"/>
    </w:rPr>
  </w:style>
  <w:style w:type="character" w:customStyle="1" w:styleId="CommentTextChar">
    <w:name w:val="Comment Text Char"/>
    <w:basedOn w:val="DefaultParagraphFont"/>
    <w:link w:val="CommentText"/>
    <w:uiPriority w:val="99"/>
    <w:semiHidden/>
    <w:rsid w:val="00683A36"/>
    <w:rPr>
      <w:rFonts w:eastAsiaTheme="minorEastAsia"/>
    </w:rPr>
  </w:style>
  <w:style w:type="paragraph" w:styleId="CommentText">
    <w:name w:val="annotation text"/>
    <w:basedOn w:val="Normal"/>
    <w:link w:val="CommentTextChar"/>
    <w:uiPriority w:val="99"/>
    <w:semiHidden/>
    <w:unhideWhenUsed/>
    <w:rsid w:val="00683A36"/>
    <w:pPr>
      <w:spacing w:after="200"/>
    </w:pPr>
    <w:rPr>
      <w:rFonts w:asciiTheme="minorHAnsi" w:eastAsiaTheme="minorEastAsia" w:hAnsiTheme="minorHAnsi"/>
      <w:sz w:val="20"/>
      <w:szCs w:val="20"/>
    </w:rPr>
  </w:style>
  <w:style w:type="character" w:customStyle="1" w:styleId="CommentSubjectChar">
    <w:name w:val="Comment Subject Char"/>
    <w:basedOn w:val="CommentTextChar"/>
    <w:link w:val="CommentSubject"/>
    <w:uiPriority w:val="99"/>
    <w:semiHidden/>
    <w:rsid w:val="00683A36"/>
    <w:rPr>
      <w:b/>
      <w:bCs/>
    </w:rPr>
  </w:style>
  <w:style w:type="paragraph" w:styleId="CommentSubject">
    <w:name w:val="annotation subject"/>
    <w:basedOn w:val="CommentText"/>
    <w:next w:val="CommentText"/>
    <w:link w:val="CommentSubjectChar"/>
    <w:uiPriority w:val="99"/>
    <w:semiHidden/>
    <w:unhideWhenUsed/>
    <w:rsid w:val="00683A36"/>
    <w:rPr>
      <w:b/>
      <w:bCs/>
    </w:rPr>
  </w:style>
  <w:style w:type="paragraph" w:styleId="NoSpacing">
    <w:name w:val="No Spacing"/>
    <w:uiPriority w:val="1"/>
    <w:qFormat/>
    <w:rsid w:val="00683A36"/>
    <w:rPr>
      <w:rFonts w:eastAsiaTheme="minorEastAsia"/>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emf"/><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936</Words>
  <Characters>5336</Characters>
  <Application>Microsoft Macintosh Word</Application>
  <DocSecurity>0</DocSecurity>
  <Lines>44</Lines>
  <Paragraphs>10</Paragraphs>
  <ScaleCrop>false</ScaleCrop>
  <Company>Binghamton University</Company>
  <LinksUpToDate>false</LinksUpToDate>
  <CharactersWithSpaces>6552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Bell</dc:creator>
  <cp:keywords/>
  <cp:lastModifiedBy>Sam Bell</cp:lastModifiedBy>
  <cp:revision>7</cp:revision>
  <dcterms:created xsi:type="dcterms:W3CDTF">2013-02-19T16:10:00Z</dcterms:created>
  <dcterms:modified xsi:type="dcterms:W3CDTF">2013-02-19T22:10:00Z</dcterms:modified>
</cp:coreProperties>
</file>