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 GREEK MOVERS</w:t>
      </w:r>
    </w:p>
    <w:p w:rsidR="00000000" w:rsidDel="00000000" w:rsidP="00000000" w:rsidRDefault="00000000" w:rsidRPr="00000000" w14:paraId="00000002">
      <w:pPr>
        <w:pStyle w:val="Subtitle"/>
        <w:rPr/>
      </w:pPr>
      <w:r w:rsidDel="00000000" w:rsidR="00000000" w:rsidRPr="00000000">
        <w:rPr>
          <w:rtl w:val="0"/>
        </w:rPr>
        <w:t xml:space="preserve">Date: 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1f4e79"/>
          <w:sz w:val="22"/>
          <w:szCs w:val="22"/>
          <w:u w:val="none"/>
          <w:shd w:fill="auto" w:val="clear"/>
          <w:vertAlign w:val="baseline"/>
          <w:rtl w:val="0"/>
        </w:rPr>
        <w:t xml:space="preserve">INvoice #1234</w:t>
      </w:r>
    </w:p>
    <w:tbl>
      <w:tblPr>
        <w:tblStyle w:val="Table1"/>
        <w:tblW w:w="94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4705"/>
        <w:gridCol w:w="4705"/>
        <w:tblGridChange w:id="0">
          <w:tblGrid>
            <w:gridCol w:w="4705"/>
            <w:gridCol w:w="4705"/>
          </w:tblGrid>
        </w:tblGridChange>
      </w:tblGrid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Bill To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Ship To</w:t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415.0" w:type="dxa"/>
              <w:jc w:val="left"/>
              <w:tblLayout w:type="fixed"/>
              <w:tblLook w:val="0400"/>
            </w:tblPr>
            <w:tblGrid>
              <w:gridCol w:w="1090"/>
              <w:gridCol w:w="3325"/>
              <w:tblGridChange w:id="0">
                <w:tblGrid>
                  <w:gridCol w:w="1090"/>
                  <w:gridCol w:w="3325"/>
                </w:tblGrid>
              </w:tblGridChange>
            </w:tblGrid>
            <w:tr>
              <w:trPr>
                <w:cantSplit w:val="0"/>
                <w:trHeight w:val="155" w:hRule="atLeast"/>
                <w:tblHeader w:val="0"/>
              </w:trPr>
              <w:tc>
                <w:tcPr>
                  <w:tcMar>
                    <w:top w:w="144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Customer</w:t>
                  </w:r>
                </w:p>
              </w:tc>
              <w:tc>
                <w:tcPr>
                  <w:tcMar>
                    <w:top w:w="144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________________________________</w:t>
                  </w:r>
                </w:p>
              </w:tc>
            </w:tr>
            <w:tr>
              <w:trPr>
                <w:cantSplit w:val="0"/>
                <w:trHeight w:val="23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________________________________</w:t>
                    <w:br w:type="textWrapping"/>
                    <w:br w:type="textWrapping"/>
                    <w:t xml:space="preserve">_________________________________</w:t>
                  </w:r>
                </w:p>
              </w:tc>
            </w:tr>
            <w:tr>
              <w:trPr>
                <w:cantSplit w:val="0"/>
                <w:trHeight w:val="1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</w:t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15.0" w:type="dxa"/>
              <w:jc w:val="left"/>
              <w:tblLayout w:type="fixed"/>
              <w:tblLook w:val="0400"/>
            </w:tblPr>
            <w:tblGrid>
              <w:gridCol w:w="1593"/>
              <w:gridCol w:w="2822"/>
              <w:tblGridChange w:id="0">
                <w:tblGrid>
                  <w:gridCol w:w="1593"/>
                  <w:gridCol w:w="2822"/>
                </w:tblGrid>
              </w:tblGridChange>
            </w:tblGrid>
            <w:tr>
              <w:trPr>
                <w:cantSplit w:val="0"/>
                <w:trHeight w:val="161" w:hRule="atLeast"/>
                <w:tblHeader w:val="0"/>
              </w:trPr>
              <w:tc>
                <w:tcPr>
                  <w:tcMar>
                    <w:top w:w="144.0" w:type="dxa"/>
                  </w:tcMar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Recipient</w:t>
                  </w:r>
                </w:p>
              </w:tc>
              <w:tc>
                <w:tcPr>
                  <w:tcMar>
                    <w:top w:w="144.0" w:type="dxa"/>
                  </w:tcMar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Greek Movers</w:t>
                  </w:r>
                </w:p>
              </w:tc>
            </w:tr>
            <w:tr>
              <w:trPr>
                <w:cantSplit w:val="0"/>
                <w:trHeight w:val="18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</w:t>
                    <w:br w:type="textWrapping"/>
                    <w:br w:type="textWrapping"/>
                    <w:t xml:space="preserve">____________________________</w:t>
                  </w:r>
                </w:p>
              </w:tc>
            </w:tr>
            <w:tr>
              <w:trPr>
                <w:cantSplit w:val="0"/>
                <w:trHeight w:val="1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Phone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14.0" w:type="dxa"/>
              <w:jc w:val="left"/>
              <w:tblLayout w:type="fixed"/>
              <w:tblLook w:val="0400"/>
            </w:tblPr>
            <w:tblGrid>
              <w:gridCol w:w="1667"/>
              <w:gridCol w:w="2747"/>
              <w:tblGridChange w:id="0">
                <w:tblGrid>
                  <w:gridCol w:w="1667"/>
                  <w:gridCol w:w="2747"/>
                </w:tblGrid>
              </w:tblGridChange>
            </w:tblGrid>
            <w:tr>
              <w:trPr>
                <w:cantSplit w:val="0"/>
                <w:trHeight w:val="105" w:hRule="atLeast"/>
                <w:tblHeader w:val="0"/>
              </w:trPr>
              <w:tc>
                <w:tcPr>
                  <w:tcMar>
                    <w:top w:w="144.0" w:type="dxa"/>
                  </w:tcMar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Payment Due</w:t>
                  </w:r>
                </w:p>
              </w:tc>
              <w:tc>
                <w:tcPr>
                  <w:tcMar>
                    <w:top w:w="144.0" w:type="dxa"/>
                  </w:tcMar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After service is performed. </w:t>
                  </w:r>
                </w:p>
              </w:tc>
            </w:tr>
            <w:tr>
              <w:trPr>
                <w:cantSplit w:val="0"/>
                <w:trHeight w:val="11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Salesperson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Peter Demetrios Kaffen</w:t>
                  </w:r>
                </w:p>
              </w:tc>
            </w:tr>
            <w:tr>
              <w:trPr>
                <w:cantSplit w:val="0"/>
                <w:trHeight w:val="42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Payment Terms</w:t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$10.00 is added to each hr. for credit/debit payments.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DOUBLE DRIVE TIME: CA moving policy requires double drive time charges for all California residents who move more than 10-15 miles.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414.0" w:type="dxa"/>
              <w:jc w:val="left"/>
              <w:tblLayout w:type="fixed"/>
              <w:tblLook w:val="0400"/>
            </w:tblPr>
            <w:tblGrid>
              <w:gridCol w:w="1667"/>
              <w:gridCol w:w="2747"/>
              <w:tblGridChange w:id="0">
                <w:tblGrid>
                  <w:gridCol w:w="1667"/>
                  <w:gridCol w:w="2747"/>
                </w:tblGrid>
              </w:tblGridChange>
            </w:tblGrid>
            <w:tr>
              <w:trPr>
                <w:cantSplit w:val="0"/>
                <w:trHeight w:val="105" w:hRule="atLeast"/>
                <w:tblHeader w:val="0"/>
              </w:trPr>
              <w:tc>
                <w:tcPr>
                  <w:tcMar>
                    <w:top w:w="144.0" w:type="dxa"/>
                  </w:tcMar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Delivery Date</w:t>
                  </w:r>
                </w:p>
              </w:tc>
              <w:tc>
                <w:tcPr>
                  <w:tcMar>
                    <w:top w:w="144.0" w:type="dxa"/>
                  </w:tcMar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__________________________</w:t>
                  </w:r>
                </w:p>
              </w:tc>
            </w:tr>
            <w:tr>
              <w:trPr>
                <w:cantSplit w:val="0"/>
                <w:trHeight w:val="1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Shipping Method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In-tow</w:t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Shipping Terms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0404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MILEAGE RATE FOR IN-TOWN AND LONG-DISTANCE MOVES:  15-49 miles: $50.00 (FLAT), 50-100 miles: $2.00/mile, 100-+: $3.00/mile.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497.29447852760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60"/>
      </w:tblPr>
      <w:tblGrid>
        <w:gridCol w:w="1134"/>
        <w:gridCol w:w="695"/>
        <w:gridCol w:w="3895"/>
        <w:gridCol w:w="1229"/>
        <w:gridCol w:w="1519.5092024539877"/>
        <w:gridCol w:w="1024.7852760736196"/>
        <w:tblGridChange w:id="0">
          <w:tblGrid>
            <w:gridCol w:w="1134"/>
            <w:gridCol w:w="695"/>
            <w:gridCol w:w="3895"/>
            <w:gridCol w:w="1229"/>
            <w:gridCol w:w="1519.5092024539877"/>
            <w:gridCol w:w="1024.7852760736196"/>
          </w:tblGrid>
        </w:tblGridChange>
      </w:tblGrid>
      <w:tr>
        <w:trPr>
          <w:cantSplit w:val="0"/>
          <w:trHeight w:val="375" w:hRule="atLeast"/>
          <w:tblHeader w:val="1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Qty.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Unit Price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Minimum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Lap 1 - 3 </w:t>
            </w:r>
          </w:p>
        </w:tc>
      </w:tr>
      <w:tr>
        <w:trPr>
          <w:cantSplit w:val="0"/>
          <w:trHeight w:val="107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Movers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3hrs.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price includes a truck, all the tools, ratchets, ropes, blankets, dollies, stretch wrap, padding, wardrobe boxes, and disassembly and assembly know how to make sure your stuff gets out the door safely and secured.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$139.00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$467.00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Movers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3hrs.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“                                                                    “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$169.00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$477.00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Movers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3hrs.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“                                                                    “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$199.00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$567.00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Movers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3hrs.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“                                                                     “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$229.00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$657.00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DDT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Lap 2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 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hrs.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Hours</w:t>
            </w:r>
          </w:p>
        </w:tc>
        <w:tc>
          <w:tcPr>
            <w:tcBorders>
              <w:bottom w:color="5b9bd5" w:space="0" w:sz="4" w:val="single"/>
            </w:tcBorders>
          </w:tcPr>
          <w:p w:rsidR="00000000" w:rsidDel="00000000" w:rsidP="00000000" w:rsidRDefault="00000000" w:rsidRPr="00000000" w14:paraId="0000004F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hrs.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5b9bd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Gas/Truck Fee:</w:t>
            </w:r>
          </w:p>
        </w:tc>
        <w:tc>
          <w:tcPr>
            <w:tcBorders>
              <w:left w:color="000000" w:space="0" w:sz="4" w:val="single"/>
              <w:bottom w:color="5b9bd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$50 (min)</w:t>
            </w:r>
          </w:p>
        </w:tc>
        <w:tc>
          <w:tcPr>
            <w:tcBorders>
              <w:left w:color="000000" w:space="0" w:sz="4" w:val="single"/>
              <w:bottom w:color="5b9bd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5b9bd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5b9bd5" w:space="0" w:sz="4" w:val="single"/>
            </w:tcBorders>
          </w:tcPr>
          <w:p w:rsidR="00000000" w:rsidDel="00000000" w:rsidP="00000000" w:rsidRDefault="00000000" w:rsidRPr="00000000" w14:paraId="00000055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5b9bd5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5b9bd5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5b9bd5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5b9bd5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5b9bd5" w:space="0" w:sz="4" w:val="single"/>
            </w:tcBorders>
          </w:tcPr>
          <w:p w:rsidR="00000000" w:rsidDel="00000000" w:rsidP="00000000" w:rsidRDefault="00000000" w:rsidRPr="00000000" w14:paraId="0000005B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X: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16"/>
          <w:szCs w:val="16"/>
          <w:u w:val="none"/>
          <w:shd w:fill="auto" w:val="clear"/>
          <w:vertAlign w:val="baseline"/>
          <w:rtl w:val="0"/>
        </w:rPr>
        <w:t xml:space="preserve">EXTRA FEES (specific items can cost extra fees)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Weight Machines / Safes (100lbs +)/Upright Piano (3 movers required)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$75.00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Baby/Grand Piano (4 movers required)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$200.00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Pool Table (4 movers required)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$200.00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Jacuzzi (4 movers required)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$500.00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Wall Mounting (2 Movers required)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120" w:lineRule="auto"/>
        <w:ind w:left="144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$40.00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0"/>
          <w:szCs w:val="20"/>
          <w:u w:val="none"/>
          <w:shd w:fill="auto" w:val="clear"/>
          <w:vertAlign w:val="baseline"/>
          <w:rtl w:val="0"/>
        </w:rPr>
        <w:t xml:space="preserve">Add on’s (services you can purchase in conjunction with your move):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WASHER AND DRYER HOOKUP: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Complete installation and certified inspection of washer and dryer units to their appropriate positions.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720" w:right="0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$40.00______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720" w:right="0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Date: ________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PACKING PRICES: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Premium Packing (the price covers larger households (2-4bedrooms,1livingroom, 2bathrooms, 1kitchen, 1diningroom) – Four Greek Movers and all the boxes, stretch/shrink wrap, padding, blankets, covers, mattress slips, and tape to safeguard your belongings and furniture.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720" w:right="0" w:hanging="36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$500.50________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720" w:right="0" w:hanging="36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160" w:top="1080" w:left="1440" w:right="1440" w:header="720" w:footer="136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right"/>
      <w:rPr>
        <w:rFonts w:ascii="Arial Black" w:cs="Arial Black" w:eastAsia="Arial Black" w:hAnsi="Arial Black"/>
        <w:b w:val="0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88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2e75b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2e75b5"/>
        <w:sz w:val="18"/>
        <w:szCs w:val="18"/>
        <w:u w:val="none"/>
        <w:shd w:fill="auto" w:val="clear"/>
        <w:vertAlign w:val="baseline"/>
        <w:rtl w:val="0"/>
      </w:rPr>
      <w:t xml:space="preserve">GREEK MOVERS</w:t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1231 E. Colton Ave, Redlands, CA 92374</w:t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p. (949) 244-0188 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b9bd5"/>
        <w:sz w:val="18"/>
        <w:szCs w:val="18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 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acd1"/>
          <w:sz w:val="18"/>
          <w:szCs w:val="18"/>
          <w:u w:val="single"/>
          <w:shd w:fill="auto" w:val="clear"/>
          <w:vertAlign w:val="baseline"/>
          <w:rtl w:val="0"/>
        </w:rPr>
        <w:t xml:space="preserve">aristotle@greekmovers.com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 –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 xml:space="preserve"> NOTE: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 We do charge an extra $10/hr for weekend rates: Saturday, Sunday. Turn of the Months 30, 31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superscript"/>
        <w:rtl w:val="0"/>
      </w:rPr>
      <w:t xml:space="preserve">st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, &amp; 1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superscript"/>
        <w:rtl w:val="0"/>
      </w:rPr>
      <w:t xml:space="preserve">st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t xml:space="preserve">. And Holidays.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right"/>
      <w:rPr>
        <w:rFonts w:ascii="Arial Black" w:cs="Arial Black" w:eastAsia="Arial Black" w:hAnsi="Arial Black"/>
        <w:b w:val="0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1f4e79"/>
        <w:sz w:val="24"/>
        <w:szCs w:val="24"/>
        <w:u w:val="none"/>
        <w:shd w:fill="auto" w:val="clear"/>
        <w:vertAlign w:val="baseline"/>
        <w:rtl w:val="0"/>
      </w:rPr>
      <w:t xml:space="preserve">NOTE: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  <w:rtl w:val="0"/>
      </w:rPr>
      <w:t xml:space="preserve"> We do charge an extra $10/hr for weekend rates: Saturday, Sunday. Turn of the Months 30, 31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superscript"/>
        <w:rtl w:val="0"/>
      </w:rPr>
      <w:t xml:space="preserve">st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  <w:rtl w:val="0"/>
      </w:rPr>
      <w:t xml:space="preserve">, &amp; 1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superscript"/>
        <w:rtl w:val="0"/>
      </w:rPr>
      <w:t xml:space="preserve">st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  <w:rtl w:val="0"/>
      </w:rPr>
      <w:t xml:space="preserve">. And Holidays.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8877300</wp:posOffset>
              </wp:positionV>
              <wp:extent cx="347853" cy="320421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6836" y="3624552"/>
                        <a:ext cx="338328" cy="310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1f4e79"/>
                              <w:sz w:val="20"/>
                              <w:vertAlign w:val="baseline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8877300</wp:posOffset>
              </wp:positionV>
              <wp:extent cx="347853" cy="320421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853" cy="3204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1080135" cy="571500"/>
          <wp:effectExtent b="0" l="0" r="0" t="0"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135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04040"/>
        <w:sz w:val="18"/>
        <w:szCs w:val="18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600" w:lineRule="auto"/>
    </w:pPr>
    <w:rPr>
      <w:b w:val="1"/>
      <w:smallCaps w:val="1"/>
      <w:color w:val="1f4e7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5b9bd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left w:color="1f4e79" w:space="4" w:sz="18" w:val="single"/>
      </w:pBdr>
      <w:spacing w:after="0" w:line="420" w:lineRule="auto"/>
    </w:pPr>
    <w:rPr>
      <w:rFonts w:ascii="Arial Black" w:cs="Arial Black" w:eastAsia="Arial Black" w:hAnsi="Arial Black"/>
      <w:smallCaps w:val="1"/>
      <w:color w:val="1f4e79"/>
      <w:sz w:val="38"/>
      <w:szCs w:val="3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240" w:before="600"/>
      <w:outlineLvl w:val="0"/>
    </w:pPr>
    <w:rPr>
      <w:b w:val="1"/>
      <w:bCs w:val="1"/>
      <w:caps w:val="1"/>
      <w:color w:val="1f4e79" w:themeColor="accent1" w:themeShade="000080"/>
      <w:kern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b w:val="1"/>
      <w:bCs w:val="1"/>
      <w:color w:val="5b9bd5" w:themeColor="accent1"/>
      <w:kern w:val="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link w:val="SubtitleChar"/>
    <w:uiPriority w:val="3"/>
    <w:qFormat w:val="1"/>
    <w:pPr>
      <w:numPr>
        <w:ilvl w:val="1"/>
      </w:numPr>
      <w:pBdr>
        <w:left w:color="1f4e79" w:space="4" w:sz="18" w:themeColor="accent1" w:themeShade="000080" w:val="double"/>
      </w:pBdr>
      <w:spacing w:after="0" w:before="80" w:line="280" w:lineRule="exact"/>
    </w:pPr>
    <w:rPr>
      <w:b w:val="1"/>
      <w:bCs w:val="1"/>
      <w:color w:val="5b9bd5" w:themeColor="accent1"/>
      <w:kern w:val="0"/>
      <w:sz w:val="24"/>
    </w:rPr>
  </w:style>
  <w:style w:type="character" w:styleId="SubtitleChar" w:customStyle="1">
    <w:name w:val="Subtitle Char"/>
    <w:basedOn w:val="DefaultParagraphFont"/>
    <w:link w:val="Subtitle"/>
    <w:uiPriority w:val="3"/>
    <w:rPr>
      <w:b w:val="1"/>
      <w:bCs w:val="1"/>
      <w:color w:val="5b9bd5" w:themeColor="accent1"/>
      <w:kern w:val="0"/>
      <w:sz w:val="24"/>
    </w:rPr>
  </w:style>
  <w:style w:type="paragraph" w:styleId="Title">
    <w:name w:val="Title"/>
    <w:basedOn w:val="Normal"/>
    <w:next w:val="Normal"/>
    <w:link w:val="TitleChar"/>
    <w:uiPriority w:val="2"/>
    <w:qFormat w:val="1"/>
    <w:pPr>
      <w:pBdr>
        <w:left w:color="1f4e79" w:space="4" w:sz="18" w:themeColor="accent1" w:themeShade="000080" w:val="double"/>
      </w:pBdr>
      <w:spacing w:after="0" w:line="420" w:lineRule="exact"/>
    </w:pPr>
    <w:rPr>
      <w:rFonts w:asciiTheme="majorHAnsi" w:cstheme="majorBidi" w:eastAsiaTheme="majorEastAsia" w:hAnsiTheme="majorHAnsi"/>
      <w:caps w:val="1"/>
      <w:color w:val="1f4e79" w:themeColor="accent1" w:themeShade="000080"/>
      <w:kern w:val="28"/>
      <w:sz w:val="38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cstheme="majorBidi" w:eastAsiaTheme="majorEastAsia" w:hAnsiTheme="majorHAnsi"/>
      <w:caps w:val="1"/>
      <w:color w:val="1f4e79" w:themeColor="accent1" w:themeShade="000080"/>
      <w:kern w:val="28"/>
      <w:sz w:val="38"/>
    </w:rPr>
  </w:style>
  <w:style w:type="table" w:styleId="InvoiceTable" w:customStyle="1">
    <w:name w:val="Invoice Table"/>
    <w:basedOn w:val="TableNormal"/>
    <w:uiPriority w:val="99"/>
    <w:pPr>
      <w:spacing w:after="120" w:before="120"/>
    </w:pPr>
    <w:rPr>
      <w:kern w:val="0"/>
    </w:rPr>
    <w:tblPr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  <w:insideH w:color="5b9bd5" w:space="0" w:sz="4" w:themeColor="accent1" w:val="single"/>
        <w:insideV w:color="5b9bd5" w:space="0" w:sz="4" w:themeColor="accent1" w:val="single"/>
      </w:tblBorders>
      <w:tblCellMar>
        <w:left w:w="144.0" w:type="dxa"/>
        <w:right w:w="144.0" w:type="dxa"/>
      </w:tblCellMar>
    </w:tblPr>
    <w:tblStylePr w:type="firstRow">
      <w:pPr>
        <w:keepNext w:val="1"/>
        <w:wordWrap w:val="1"/>
      </w:pPr>
      <w:rPr>
        <w:b w:val="1"/>
      </w:rPr>
      <w:tblPr/>
      <w:tcPr>
        <w:shd w:color="auto" w:fill="deeaf6" w:themeFill="accent1" w:themeFillTint="000033" w:val="clear"/>
        <w:vAlign w:val="bottom"/>
      </w:tcPr>
    </w:tblStylePr>
    <w:tblStylePr w:type="lastRow">
      <w:pPr>
        <w:wordWrap w:val="1"/>
        <w:jc w:val="right"/>
      </w:pPr>
      <w:rPr>
        <w:b w:val="1"/>
        <w:color w:val="ffffff" w:themeColor="background1"/>
      </w:rPr>
      <w:tblPr/>
      <w:tcPr>
        <w:shd w:color="auto" w:fill="5b9bd5" w:themeFill="accent1" w:val="clear"/>
      </w:tcPr>
    </w:tblStyle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InvoiceHeading" w:customStyle="1">
    <w:name w:val="Invoice Heading"/>
    <w:basedOn w:val="Normal"/>
    <w:next w:val="Normal"/>
    <w:uiPriority w:val="2"/>
    <w:qFormat w:val="1"/>
    <w:pPr>
      <w:spacing w:after="240" w:before="600"/>
    </w:pPr>
    <w:rPr>
      <w:b w:val="1"/>
      <w:bCs w:val="1"/>
      <w:caps w:val="1"/>
      <w:color w:val="1f4e79" w:themeColor="accent1" w:themeShade="000080"/>
      <w:sz w:val="28"/>
    </w:rPr>
  </w:style>
  <w:style w:type="character" w:styleId="Heading1Char" w:customStyle="1">
    <w:name w:val="Heading 1 Char"/>
    <w:basedOn w:val="DefaultParagraphFont"/>
    <w:link w:val="Heading1"/>
    <w:uiPriority w:val="9"/>
    <w:rPr>
      <w:b w:val="1"/>
      <w:bCs w:val="1"/>
      <w:caps w:val="1"/>
      <w:color w:val="1f4e79" w:themeColor="accent1" w:themeShade="000080"/>
      <w:kern w:val="0"/>
      <w:sz w:val="28"/>
    </w:rPr>
  </w:style>
  <w:style w:type="character" w:styleId="Heading2Char" w:customStyle="1">
    <w:name w:val="Heading 2 Char"/>
    <w:basedOn w:val="DefaultParagraphFont"/>
    <w:link w:val="Heading2"/>
    <w:uiPriority w:val="9"/>
    <w:rPr>
      <w:b w:val="1"/>
      <w:bCs w:val="1"/>
      <w:color w:val="5b9bd5" w:themeColor="accent1"/>
      <w:kern w:val="0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rmHeading" w:customStyle="1">
    <w:name w:val="Form Heading"/>
    <w:basedOn w:val="Normal"/>
    <w:uiPriority w:val="2"/>
    <w:qFormat w:val="1"/>
    <w:pPr>
      <w:spacing w:after="120"/>
    </w:pPr>
    <w:rPr>
      <w:b w:val="1"/>
      <w:bCs w:val="1"/>
    </w:rPr>
  </w:style>
  <w:style w:type="paragraph" w:styleId="FormText" w:customStyle="1">
    <w:name w:val="Form Text"/>
    <w:basedOn w:val="Normal"/>
    <w:uiPriority w:val="2"/>
    <w:qFormat w:val="1"/>
    <w:pPr>
      <w:spacing w:after="1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spacing w:after="0" w:before="200"/>
      <w:contextualSpacing w:val="1"/>
      <w:jc w:val="right"/>
    </w:pPr>
    <w:rPr>
      <w:rFonts w:asciiTheme="majorHAnsi" w:cstheme="majorBidi" w:eastAsiaTheme="majorEastAsia" w:hAnsiTheme="majorHAnsi"/>
      <w:noProof w:val="1"/>
      <w:color w:val="1f4e79" w:themeColor="accent1" w:themeShade="000080"/>
      <w:kern w:val="0"/>
      <w:sz w:val="20"/>
    </w:rPr>
  </w:style>
  <w:style w:type="character" w:styleId="FooterChar" w:customStyle="1">
    <w:name w:val="Footer Char"/>
    <w:basedOn w:val="DefaultParagraphFont"/>
    <w:link w:val="Footer"/>
    <w:uiPriority w:val="99"/>
    <w:rPr>
      <w:rFonts w:asciiTheme="majorHAnsi" w:cstheme="majorBidi" w:eastAsiaTheme="majorEastAsia" w:hAnsiTheme="majorHAnsi"/>
      <w:noProof w:val="1"/>
      <w:color w:val="1f4e79" w:themeColor="accent1" w:themeShade="000080"/>
      <w:kern w:val="0"/>
      <w:sz w:val="20"/>
    </w:rPr>
  </w:style>
  <w:style w:type="paragraph" w:styleId="Closing">
    <w:name w:val="Closing"/>
    <w:basedOn w:val="Normal"/>
    <w:link w:val="ClosingChar"/>
    <w:uiPriority w:val="4"/>
    <w:unhideWhenUsed w:val="1"/>
    <w:qFormat w:val="1"/>
    <w:pPr>
      <w:spacing w:after="120" w:before="360"/>
    </w:pPr>
    <w:rPr>
      <w:b w:val="1"/>
      <w:bCs w:val="1"/>
      <w:color w:val="5b9bd5" w:themeColor="accent1"/>
      <w:sz w:val="24"/>
    </w:rPr>
  </w:style>
  <w:style w:type="character" w:styleId="ClosingChar" w:customStyle="1">
    <w:name w:val="Closing Char"/>
    <w:basedOn w:val="DefaultParagraphFont"/>
    <w:link w:val="Closing"/>
    <w:uiPriority w:val="4"/>
    <w:rPr>
      <w:b w:val="1"/>
      <w:bCs w:val="1"/>
      <w:color w:val="5b9bd5" w:themeColor="accent1"/>
      <w:sz w:val="24"/>
    </w:rPr>
  </w:style>
  <w:style w:type="paragraph" w:styleId="Organization" w:customStyle="1">
    <w:name w:val="Organization"/>
    <w:basedOn w:val="Normal"/>
    <w:next w:val="Normal"/>
    <w:uiPriority w:val="4"/>
    <w:qFormat w:val="1"/>
    <w:pPr>
      <w:spacing w:after="0" w:before="160" w:line="288" w:lineRule="auto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Strong">
    <w:name w:val="Strong"/>
    <w:basedOn w:val="DefaultParagraphFont"/>
    <w:uiPriority w:val="2"/>
    <w:unhideWhenUsed w:val="1"/>
    <w:qFormat w:val="1"/>
    <w:rPr>
      <w:b w:val="0"/>
      <w:bCs w:val="0"/>
      <w:color w:val="5b9bd5" w:themeColor="accent1"/>
    </w:rPr>
  </w:style>
  <w:style w:type="paragraph" w:styleId="ContactInfo" w:customStyle="1">
    <w:name w:val="Contact Info"/>
    <w:basedOn w:val="Normal"/>
    <w:uiPriority w:val="4"/>
    <w:qFormat w:val="1"/>
    <w:pPr>
      <w:spacing w:after="0" w:before="40"/>
    </w:pPr>
  </w:style>
  <w:style w:type="paragraph" w:styleId="Revision">
    <w:name w:val="Revision"/>
    <w:hidden w:val="1"/>
    <w:uiPriority w:val="99"/>
    <w:semiHidden w:val="1"/>
    <w:rsid w:val="00786713"/>
    <w:pPr>
      <w:spacing w:after="0"/>
    </w:pPr>
  </w:style>
  <w:style w:type="character" w:styleId="Hyperlink">
    <w:name w:val="Hyperlink"/>
    <w:basedOn w:val="DefaultParagraphFont"/>
    <w:uiPriority w:val="99"/>
    <w:unhideWhenUsed w:val="1"/>
    <w:rsid w:val="00D25B68"/>
    <w:rPr>
      <w:color w:val="40ac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25B6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pBdr>
        <w:left w:color="1f4e79" w:space="4" w:sz="18" w:val="single"/>
      </w:pBdr>
      <w:spacing w:after="0" w:before="80" w:line="280" w:lineRule="auto"/>
    </w:pPr>
    <w:rPr>
      <w:b w:val="1"/>
      <w:color w:val="5b9bd5"/>
      <w:sz w:val="24"/>
      <w:szCs w:val="24"/>
    </w:rPr>
  </w:style>
  <w:style w:type="table" w:styleId="Table1">
    <w:basedOn w:val="TableNormal"/>
    <w:pPr>
      <w:spacing w:after="0" w:before="120" w:lineRule="auto"/>
    </w:pPr>
    <w:tblPr>
      <w:tblStyleRowBandSize w:val="1"/>
      <w:tblStyleColBandSize w:val="1"/>
      <w:tblCellMar>
        <w:top w:w="0.0" w:type="dxa"/>
        <w:left w:w="144.0" w:type="dxa"/>
        <w:bottom w:w="0.0" w:type="dxa"/>
        <w:right w:w="144.0" w:type="dxa"/>
      </w:tblCellMar>
    </w:tblPr>
    <w:tblStylePr w:type="firstRow">
      <w:pPr>
        <w:keepNext w:val="1"/>
      </w:pPr>
      <w:rPr>
        <w:b w:val="1"/>
      </w:rPr>
      <w:tcPr>
        <w:shd w:fill="deebf6" w:val="clear"/>
        <w:vAlign w:val="bottom"/>
      </w:tcPr>
    </w:tblStylePr>
    <w:tblStylePr w:type="lastRow">
      <w:pPr>
        <w:jc w:val="right"/>
      </w:pPr>
      <w:rPr>
        <w:b w:val="1"/>
        <w:color w:val="ffffff"/>
      </w:rPr>
      <w:tcPr>
        <w:shd w:fill="5b9bd5" w:val="clear"/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before="120" w:lineRule="auto"/>
    </w:pPr>
    <w:tblPr>
      <w:tblStyleRowBandSize w:val="1"/>
      <w:tblStyleColBandSize w:val="1"/>
      <w:tblCellMar>
        <w:top w:w="0.0" w:type="dxa"/>
        <w:left w:w="144.0" w:type="dxa"/>
        <w:bottom w:w="0.0" w:type="dxa"/>
        <w:right w:w="144.0" w:type="dxa"/>
      </w:tblCellMar>
    </w:tblPr>
    <w:tblStylePr w:type="firstRow">
      <w:pPr>
        <w:keepNext w:val="1"/>
      </w:pPr>
      <w:rPr>
        <w:b w:val="1"/>
      </w:rPr>
      <w:tcPr>
        <w:shd w:fill="deebf6" w:val="clear"/>
        <w:vAlign w:val="bottom"/>
      </w:tcPr>
    </w:tblStylePr>
    <w:tblStylePr w:type="lastRow">
      <w:pPr>
        <w:jc w:val="right"/>
      </w:pPr>
      <w:rPr>
        <w:b w:val="1"/>
        <w:color w:val="ffffff"/>
      </w:rPr>
      <w:tcPr>
        <w:shd w:fill="5b9bd5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aristotle@greekmovers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3dvcPBdJh2T1jQbfL9hmVALnDQ==">CgMxLjA4AHIhMWM5akVDTzhPajZDblhRMXBabUkxTDFzbDlkV1BScVRq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2023-03-01T19:33:00Z</dcterms:created>
  <dc:creator>Kaffen, Peter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