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D966" w14:textId="499A99F8" w:rsidR="004B4D18" w:rsidRPr="004B4D18" w:rsidRDefault="004B4D18" w:rsidP="004B4D18">
      <w:r w:rsidRPr="004B4D18">
        <w:rPr>
          <w:b/>
          <w:bCs/>
        </w:rPr>
        <w:t>COMMITTEE:</w:t>
      </w:r>
      <w:r w:rsidRPr="004B4D18">
        <w:t xml:space="preserve"> </w:t>
      </w:r>
      <w:r w:rsidR="00BC3F4D">
        <w:t>DISEC</w:t>
      </w:r>
    </w:p>
    <w:p w14:paraId="5C8E6293" w14:textId="1D999803" w:rsidR="004B4D18" w:rsidRDefault="004B4D18" w:rsidP="004B4D18">
      <w:r w:rsidRPr="004B4D18">
        <w:rPr>
          <w:b/>
          <w:bCs/>
        </w:rPr>
        <w:t>QUESTION:</w:t>
      </w:r>
      <w:r w:rsidR="00BC3F4D">
        <w:t xml:space="preserve"> Drones in European air space</w:t>
      </w:r>
    </w:p>
    <w:p w14:paraId="4A3A29FF" w14:textId="5A806F37" w:rsidR="004B4D18" w:rsidRPr="004B4D18" w:rsidRDefault="004B4D18" w:rsidP="004B4D18">
      <w:r w:rsidRPr="004B4D18">
        <w:rPr>
          <w:b/>
          <w:bCs/>
        </w:rPr>
        <w:t>DELEGATE:</w:t>
      </w:r>
      <w:r w:rsidR="00BC3F4D">
        <w:rPr>
          <w:b/>
          <w:bCs/>
        </w:rPr>
        <w:t xml:space="preserve"> DRC</w:t>
      </w:r>
    </w:p>
    <w:p w14:paraId="7C3D56EF" w14:textId="77777777" w:rsidR="004B4D18" w:rsidRDefault="004B4D18" w:rsidP="004B4D18">
      <w:r w:rsidRPr="004B4D18">
        <w:t>Recalling the Charter of the United Nations, particularly the principles of sovereign equality, territorial integrity, and non</w:t>
      </w:r>
      <w:r w:rsidRPr="004B4D18">
        <w:noBreakHyphen/>
        <w:t xml:space="preserve">interference in the internal affairs of States, </w:t>
      </w:r>
    </w:p>
    <w:p w14:paraId="2E0E9F84" w14:textId="77777777" w:rsidR="004B4D18" w:rsidRDefault="004B4D18" w:rsidP="004B4D18">
      <w:r w:rsidRPr="004B4D18">
        <w:t xml:space="preserve">Recognising the rapid expansion of unmanned aerial vehicles (UAVs) in both civilian and military contexts, and the resulting challenges to airspace safety, privacy, and international security, </w:t>
      </w:r>
    </w:p>
    <w:p w14:paraId="3B115EDF" w14:textId="24716A7A" w:rsidR="004B4D18" w:rsidRDefault="004B4D18" w:rsidP="004B4D18">
      <w:r w:rsidRPr="004B4D18">
        <w:t xml:space="preserve">Alarmed by recent incidents of unauthorised drone activity near critical infrastructure, civilian airports, and military installations, which pose risks to civilian populations and international stability, </w:t>
      </w:r>
    </w:p>
    <w:p w14:paraId="3469FF11" w14:textId="583D19BD" w:rsidR="004B4D18" w:rsidRPr="004B4D18" w:rsidRDefault="004B4D18" w:rsidP="004B4D18">
      <w:r w:rsidRPr="004B4D18">
        <w:t>Acknowledging that drone technology, while offering significant benefits in areas such as humanitarian aid, environmental monitoring, and disaster response, also presents opportunities for misuse, including espionage, trafficking, and armed conflict,</w:t>
      </w:r>
    </w:p>
    <w:p w14:paraId="616B0A70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Encourages</w:t>
      </w:r>
      <w:r w:rsidRPr="004B4D18">
        <w:t xml:space="preserve"> all Member States to develop or strengthen national legislation regulating drone usage, including registration systems, altitude limits, and no</w:t>
      </w:r>
      <w:r w:rsidRPr="004B4D18">
        <w:noBreakHyphen/>
        <w:t>fly zones around critical infrastructure, in accordance with national legal frameworks;</w:t>
      </w:r>
    </w:p>
    <w:p w14:paraId="627C4DAA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Recommends</w:t>
      </w:r>
      <w:r w:rsidRPr="004B4D18">
        <w:t xml:space="preserve"> the establishment of a </w:t>
      </w:r>
      <w:r w:rsidRPr="004B4D18">
        <w:rPr>
          <w:i/>
          <w:iCs/>
        </w:rPr>
        <w:t>voluntary, ICAO</w:t>
      </w:r>
      <w:r w:rsidRPr="004B4D18">
        <w:rPr>
          <w:i/>
          <w:iCs/>
        </w:rPr>
        <w:noBreakHyphen/>
        <w:t>coordinated International Drone Monitoring Mechanism (IDMM)</w:t>
      </w:r>
      <w:r w:rsidRPr="004B4D18">
        <w:t xml:space="preserve"> to facilitate information</w:t>
      </w:r>
      <w:r w:rsidRPr="004B4D18">
        <w:noBreakHyphen/>
        <w:t>sharing on unauthorised UAV activity and provide real</w:t>
      </w:r>
      <w:r w:rsidRPr="004B4D18">
        <w:noBreakHyphen/>
        <w:t>time alerts to participating States;</w:t>
      </w:r>
    </w:p>
    <w:p w14:paraId="55BC70F0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Encourages</w:t>
      </w:r>
      <w:r w:rsidRPr="004B4D18">
        <w:t xml:space="preserve"> Member States to review and, where appropriate, update penalties for unauthorised drone incursions into foreign or restricted airspaces, ensuring all measures remain consistent with international law and proportionality principles;</w:t>
      </w:r>
    </w:p>
    <w:p w14:paraId="39457C88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Calls upon</w:t>
      </w:r>
      <w:r w:rsidRPr="004B4D18">
        <w:t xml:space="preserve"> technologically advanced States to provide capacity</w:t>
      </w:r>
      <w:r w:rsidRPr="004B4D18">
        <w:noBreakHyphen/>
        <w:t>building assistance to developing nations, including training in airspace monitoring, access to drone</w:t>
      </w:r>
      <w:r w:rsidRPr="004B4D18">
        <w:noBreakHyphen/>
        <w:t>detection technologies, and support for national regulatory frameworks;</w:t>
      </w:r>
    </w:p>
    <w:p w14:paraId="39C742FA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Requests</w:t>
      </w:r>
      <w:r w:rsidRPr="004B4D18">
        <w:t xml:space="preserve"> that ICAO and UNODC jointly administer a </w:t>
      </w:r>
      <w:r w:rsidRPr="004B4D18">
        <w:rPr>
          <w:i/>
          <w:iCs/>
        </w:rPr>
        <w:t>Drone Safety and Capacity Programme (DSCP)</w:t>
      </w:r>
      <w:r w:rsidRPr="004B4D18">
        <w:t>—funded through voluntary contributions—to support developing countries, including the DRC, in acquiring tools needed to monitor and secure their airspaces;</w:t>
      </w:r>
    </w:p>
    <w:p w14:paraId="2C6134EF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Encourages</w:t>
      </w:r>
      <w:r w:rsidRPr="004B4D18">
        <w:t xml:space="preserve"> the creation of joint research initiatives between technologically advanced States and developing nations to promote equitable access to emerging UAV technologies and ensure global innovation benefits all regions;</w:t>
      </w:r>
    </w:p>
    <w:p w14:paraId="28386C93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Recommends</w:t>
      </w:r>
      <w:r w:rsidRPr="004B4D18">
        <w:t xml:space="preserve"> that Member States share anonymised data on drone</w:t>
      </w:r>
      <w:r w:rsidRPr="004B4D18">
        <w:noBreakHyphen/>
        <w:t>related incidents through a secure UN platform managed by ICAO, with the aim of improving transparency, early warning, and risk</w:t>
      </w:r>
      <w:r w:rsidRPr="004B4D18">
        <w:noBreakHyphen/>
        <w:t>reduction;</w:t>
      </w:r>
    </w:p>
    <w:p w14:paraId="17A9FC47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Supports</w:t>
      </w:r>
      <w:r w:rsidRPr="004B4D18">
        <w:t xml:space="preserve"> the development of voluntary regional crisis</w:t>
      </w:r>
      <w:r w:rsidRPr="004B4D18">
        <w:noBreakHyphen/>
        <w:t>communication channels, facilitated by existing regional organisations (e.g., AU, EU, ASEAN), to rapidly address cross</w:t>
      </w:r>
      <w:r w:rsidRPr="004B4D18">
        <w:noBreakHyphen/>
        <w:t>border drone incidents and prevent escalation;</w:t>
      </w:r>
    </w:p>
    <w:p w14:paraId="6F3FDE19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lastRenderedPageBreak/>
        <w:t>Suggests</w:t>
      </w:r>
      <w:r w:rsidRPr="004B4D18">
        <w:t xml:space="preserve"> that discussions on drone security be incorporated into existing ICAO and UNODC conferences, allowing Member States to evaluate progress and update global standards without creating new budgetary burdens;</w:t>
      </w:r>
    </w:p>
    <w:p w14:paraId="003848AA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Emphasises</w:t>
      </w:r>
      <w:r w:rsidRPr="004B4D18">
        <w:t xml:space="preserve"> that any military use of drones must comply fully with international humanitarian law, including the principles of distinction, proportionality, and necessity;</w:t>
      </w:r>
    </w:p>
    <w:p w14:paraId="0A4864AC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Encourages</w:t>
      </w:r>
      <w:r w:rsidRPr="004B4D18">
        <w:t xml:space="preserve"> the exploration and adoption of non</w:t>
      </w:r>
      <w:r w:rsidRPr="004B4D18">
        <w:noBreakHyphen/>
        <w:t>kinetic drone</w:t>
      </w:r>
      <w:r w:rsidRPr="004B4D18">
        <w:noBreakHyphen/>
        <w:t>neutralisation technologies—such as signal jamming, geofencing, and interception systems—where consistent with international law, to reduce reliance on destructive counter</w:t>
      </w:r>
      <w:r w:rsidRPr="004B4D18">
        <w:noBreakHyphen/>
        <w:t>UAV measures that may endanger civilians;</w:t>
      </w:r>
    </w:p>
    <w:p w14:paraId="164AD5D5" w14:textId="77777777" w:rsidR="004B4D18" w:rsidRPr="004B4D18" w:rsidRDefault="004B4D18" w:rsidP="004B4D18">
      <w:pPr>
        <w:numPr>
          <w:ilvl w:val="0"/>
          <w:numId w:val="3"/>
        </w:numPr>
      </w:pPr>
      <w:r w:rsidRPr="004B4D18">
        <w:rPr>
          <w:b/>
          <w:bCs/>
        </w:rPr>
        <w:t>Affirms</w:t>
      </w:r>
      <w:r w:rsidRPr="004B4D18">
        <w:t xml:space="preserve"> the right of all States to access peaceful drone technologies for economic development, environmental protection, and humanitarian response, on mutually agreed and commercially viable terms;</w:t>
      </w:r>
    </w:p>
    <w:p w14:paraId="48E9AB84" w14:textId="286D2548" w:rsidR="00B34E1B" w:rsidRDefault="00B34E1B"/>
    <w:sectPr w:rsidR="00B34E1B" w:rsidSect="00F36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F53F" w14:textId="77777777" w:rsidR="00DE2B85" w:rsidRDefault="00DE2B85" w:rsidP="002001E2">
      <w:pPr>
        <w:spacing w:after="0" w:line="240" w:lineRule="auto"/>
      </w:pPr>
      <w:r>
        <w:separator/>
      </w:r>
    </w:p>
  </w:endnote>
  <w:endnote w:type="continuationSeparator" w:id="0">
    <w:p w14:paraId="7C69C6EE" w14:textId="77777777" w:rsidR="00DE2B85" w:rsidRDefault="00DE2B85" w:rsidP="002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70B8" w14:textId="77777777" w:rsidR="00DE2B85" w:rsidRDefault="00DE2B85" w:rsidP="002001E2">
      <w:pPr>
        <w:spacing w:after="0" w:line="240" w:lineRule="auto"/>
      </w:pPr>
      <w:r>
        <w:separator/>
      </w:r>
    </w:p>
  </w:footnote>
  <w:footnote w:type="continuationSeparator" w:id="0">
    <w:p w14:paraId="61B1D5D2" w14:textId="77777777" w:rsidR="00DE2B85" w:rsidRDefault="00DE2B85" w:rsidP="0020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F7F"/>
    <w:multiLevelType w:val="hybridMultilevel"/>
    <w:tmpl w:val="028E3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0532"/>
    <w:multiLevelType w:val="multilevel"/>
    <w:tmpl w:val="14F2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64434"/>
    <w:multiLevelType w:val="multilevel"/>
    <w:tmpl w:val="8370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038753">
    <w:abstractNumId w:val="2"/>
  </w:num>
  <w:num w:numId="2" w16cid:durableId="665862328">
    <w:abstractNumId w:val="0"/>
  </w:num>
  <w:num w:numId="3" w16cid:durableId="72418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1B"/>
    <w:rsid w:val="002001E2"/>
    <w:rsid w:val="002033FF"/>
    <w:rsid w:val="004B4D18"/>
    <w:rsid w:val="00784818"/>
    <w:rsid w:val="007C25F9"/>
    <w:rsid w:val="007F74DF"/>
    <w:rsid w:val="00A32029"/>
    <w:rsid w:val="00A51C05"/>
    <w:rsid w:val="00B34E1B"/>
    <w:rsid w:val="00BC3F4D"/>
    <w:rsid w:val="00C253E2"/>
    <w:rsid w:val="00D92047"/>
    <w:rsid w:val="00DB5078"/>
    <w:rsid w:val="00DC7C33"/>
    <w:rsid w:val="00DE2B85"/>
    <w:rsid w:val="00F06139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4603"/>
  <w15:chartTrackingRefBased/>
  <w15:docId w15:val="{B8E124D2-2F80-4066-9B48-2758DCF8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1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E1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1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1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E1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3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E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3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E1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3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E1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34E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E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3807-0E1F-4F36-B569-EC23E390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Brady (11R-ISB)</dc:creator>
  <cp:keywords/>
  <dc:description/>
  <cp:lastModifiedBy>Joseph Brady (11R-ISB)</cp:lastModifiedBy>
  <cp:revision>7</cp:revision>
  <dcterms:created xsi:type="dcterms:W3CDTF">2026-02-26T12:15:00Z</dcterms:created>
  <dcterms:modified xsi:type="dcterms:W3CDTF">2026-02-28T10:59:00Z</dcterms:modified>
</cp:coreProperties>
</file>