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600"/>
              <w:left w:type="dxa" w:w="400"/>
              <w:bottom w:type="dxa" w:w="600"/>
              <w:right w:type="dxa" w:w="400"/>
            </w:tcMar>
          </w:tcPr>
          <w:p>
            <w:pPr>
              <w:spacing w:after="120" w:before="0"/>
              <w:jc w:val="center"/>
            </w:pPr>
            <w:r>
              <w:rPr>
                <w:rFonts w:ascii="Arial" w:cs="Arial" w:eastAsia="Arial" w:hAnsi="Arial"/>
                <w:b/>
                <w:bCs/>
                <w:color w:val="FFFFFF"/>
                <w:sz w:val="40"/>
                <w:szCs w:val="40"/>
              </w:rPr>
              <w:t xml:space="preserve">TIMOTHY L. JOHNSON ACADEMY</w:t>
            </w:r>
          </w:p>
          <w:p>
            <w:pPr>
              <w:spacing w:after="200" w:before="0"/>
              <w:jc w:val="center"/>
            </w:pPr>
            <w:r>
              <w:rPr>
                <w:rFonts w:ascii="Arial" w:cs="Arial" w:eastAsia="Arial" w:hAnsi="Arial"/>
                <w:color w:val="B8D4E8"/>
                <w:sz w:val="20"/>
                <w:szCs w:val="20"/>
              </w:rPr>
              <w:t xml:space="preserve">4625 Werling Drive • Fort Wayne, IN 46806 • (260) 441-8727</w:t>
            </w:r>
          </w:p>
          <w:p>
            <w:pPr>
              <w:spacing w:after="120" w:before="200"/>
              <w:jc w:val="center"/>
            </w:pPr>
            <w:r>
              <w:rPr>
                <w:rFonts w:ascii="Arial" w:cs="Arial" w:eastAsia="Arial" w:hAnsi="Arial"/>
                <w:b/>
                <w:bCs/>
                <w:color w:val="FFFFFF"/>
                <w:sz w:val="52"/>
                <w:szCs w:val="52"/>
              </w:rPr>
              <w:t xml:space="preserve">Parent-Scholar Handbook</w:t>
            </w:r>
          </w:p>
          <w:p>
            <w:pPr>
              <w:spacing w:after="200" w:before="0"/>
              <w:jc w:val="center"/>
            </w:pPr>
            <w:r>
              <w:rPr>
                <w:rFonts w:ascii="Arial" w:cs="Arial" w:eastAsia="Arial" w:hAnsi="Arial"/>
                <w:color w:val="B8D4E8"/>
                <w:sz w:val="28"/>
                <w:szCs w:val="28"/>
              </w:rPr>
              <w:t xml:space="preserve">2026–2027 Academic Year</w:t>
            </w:r>
          </w:p>
          <w:p>
            <w:pPr>
              <w:spacing w:after="60" w:before="160"/>
              <w:jc w:val="center"/>
            </w:pPr>
            <w:r>
              <w:rPr>
                <w:rFonts w:ascii="Arial" w:cs="Arial" w:eastAsia="Arial" w:hAnsi="Arial"/>
                <w:i/>
                <w:iCs/>
                <w:color w:val="FFFFFF"/>
                <w:sz w:val="22"/>
                <w:szCs w:val="22"/>
              </w:rPr>
              <w:t xml:space="preserve">Grades K–8</w:t>
            </w:r>
          </w:p>
          <w:p>
            <w:pPr>
              <w:jc w:val="center"/>
            </w:pPr>
            <w:r>
              <w:rPr>
                <w:rFonts w:ascii="Arial" w:cs="Arial" w:eastAsia="Arial" w:hAnsi="Arial"/>
                <w:i/>
                <w:iCs/>
                <w:color w:val="B8D4E8"/>
                <w:sz w:val="22"/>
                <w:szCs w:val="22"/>
              </w:rPr>
              <w:t xml:space="preserve">Scholars Today • Leaders Tomorrow</w:t>
            </w:r>
          </w:p>
          <w:p>
            <w:pPr>
              <w:spacing w:before="200"/>
              <w:jc w:val="center"/>
            </w:pPr>
            <w:r>
              <w:rPr>
                <w:rFonts w:ascii="Arial" w:cs="Arial" w:eastAsia="Arial" w:hAnsi="Arial"/>
                <w:color w:val="B8D4E8"/>
                <w:sz w:val="18"/>
                <w:szCs w:val="18"/>
              </w:rPr>
              <w:t xml:space="preserve">Authorized by: Ed One at Trine University • Self-Managed by: TLJA</w:t>
            </w:r>
          </w:p>
        </w:tc>
      </w:tr>
    </w:tbl>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Welcome to Timothy L. Johnson Academy</w:t>
            </w:r>
          </w:p>
        </w:tc>
      </w:tr>
    </w:tbl>
    <w:p>
      <w:pPr>
        <w:spacing w:after="80" w:before="80"/>
      </w:pPr>
    </w:p>
    <w:p>
      <w:pPr>
        <w:spacing w:after="80" w:before="80"/>
      </w:pPr>
      <w:r>
        <w:rPr>
          <w:rFonts w:ascii="Arial" w:cs="Arial" w:eastAsia="Arial" w:hAnsi="Arial"/>
          <w:color w:val="333333"/>
          <w:sz w:val="20"/>
          <w:szCs w:val="20"/>
        </w:rPr>
        <w:t xml:space="preserve">Dear Parents, Guardians, and Scholars,</w:t>
      </w:r>
    </w:p>
    <w:p>
      <w:pPr>
        <w:spacing w:after="80" w:before="80"/>
      </w:pPr>
      <w:r>
        <w:rPr>
          <w:rFonts w:ascii="Arial" w:cs="Arial" w:eastAsia="Arial" w:hAnsi="Arial"/>
          <w:color w:val="333333"/>
          <w:sz w:val="20"/>
          <w:szCs w:val="20"/>
        </w:rPr>
        <w:t xml:space="preserve">We are excited to have this opportunity to partner with you in preparing every child to learn and lead their generation. Whether you are joining us in Kindergarten or continuing your journey through our middle grades, this handbook is your guide to understanding what it means to be part of the TLJA family.</w:t>
      </w:r>
    </w:p>
    <w:p>
      <w:pPr>
        <w:spacing w:after="80" w:before="80"/>
      </w:pPr>
      <w:r>
        <w:rPr>
          <w:rFonts w:ascii="Arial" w:cs="Arial" w:eastAsia="Arial" w:hAnsi="Arial"/>
          <w:color w:val="333333"/>
          <w:sz w:val="20"/>
          <w:szCs w:val="20"/>
        </w:rPr>
        <w:t xml:space="preserve">From our core academics to innovative electives, extracurricular programs, and English learner services, TLJA offers challenges and opportunities for every scholar. A positive relationship among parents, teachers, staff, families, and community is vital to the success we wish to achieve for each child.</w:t>
      </w:r>
    </w:p>
    <w:p>
      <w:pPr>
        <w:spacing w:after="80" w:before="80"/>
      </w:pPr>
      <w:r>
        <w:rPr>
          <w:rFonts w:ascii="Arial" w:cs="Arial" w:eastAsia="Arial" w:hAnsi="Arial"/>
          <w:color w:val="333333"/>
          <w:sz w:val="20"/>
          <w:szCs w:val="20"/>
        </w:rPr>
        <w:t xml:space="preserve">Please read through this handbook carefully and keep it as a reference throughout the year. This handbook supersedes all prior handbooks and written or oral statements regarding any item contained within.</w:t>
      </w:r>
    </w:p>
    <w:p>
      <w:pPr>
        <w:spacing w:after="80" w:before="80"/>
      </w:pPr>
      <w:r>
        <w:rPr>
          <w:rFonts w:ascii="Arial" w:cs="Arial" w:eastAsia="Arial" w:hAnsi="Arial"/>
          <w:color w:val="333333"/>
          <w:sz w:val="20"/>
          <w:szCs w:val="20"/>
        </w:rPr>
        <w:t xml:space="preserve">Timothy L. Johnson Academy begins with you. Have a positive and rewarding school year.</w:t>
      </w:r>
    </w:p>
    <w:p>
      <w:pPr>
        <w:spacing w:after="80" w:before="80"/>
      </w:pPr>
    </w:p>
    <w:p>
      <w:pPr>
        <w:spacing w:after="80" w:before="80"/>
      </w:pPr>
      <w:r>
        <w:rPr>
          <w:rFonts w:ascii="Arial" w:cs="Arial" w:eastAsia="Arial" w:hAnsi="Arial"/>
          <w:b/>
          <w:bCs/>
          <w:color w:val="1F3864"/>
          <w:sz w:val="20"/>
          <w:szCs w:val="20"/>
        </w:rPr>
        <w:t xml:space="preserve">Dawn Starks</w:t>
      </w:r>
      <w:r>
        <w:rPr>
          <w:rFonts w:ascii="Arial" w:cs="Arial" w:eastAsia="Arial" w:hAnsi="Arial"/>
          <w:color w:val="333333"/>
          <w:sz w:val="20"/>
          <w:szCs w:val="20"/>
        </w:rPr>
        <w:t xml:space="preserve">
Superintendent, Timothy L. Johnson Academy</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District Leadership Team</w:t>
            </w:r>
          </w:p>
        </w:tc>
      </w:tr>
    </w:tbl>
    <w:p>
      <w:pPr>
        <w:spacing w:after="80" w:before="8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single" w:color="2E75B6" w:sz="6"/>
              <w:left w:val="single" w:color="2E75B6" w:sz="6"/>
              <w:bottom w:val="single" w:color="2E75B6" w:sz="6"/>
              <w:right w:val="single" w:color="2E75B6" w:sz="6"/>
            </w:tcBorders>
            <w:shd w:fill="F2F2F2" w:val="clear"/>
            <w:tcMar>
              <w:top w:type="dxa" w:w="400"/>
              <w:left w:type="dxa" w:w="300"/>
              <w:bottom w:type="dxa" w:w="400"/>
              <w:right w:type="dxa" w:w="300"/>
            </w:tcMar>
          </w:tcPr>
          <w:p>
            <w:pPr>
              <w:spacing w:after="60" w:before="0"/>
              <w:jc w:val="center"/>
            </w:pPr>
            <w:r>
              <w:rPr>
                <w:rFonts w:ascii="Arial" w:cs="Arial" w:eastAsia="Arial" w:hAnsi="Arial"/>
                <w:b/>
                <w:bCs/>
                <w:color w:val="1F3864"/>
                <w:sz w:val="24"/>
                <w:szCs w:val="24"/>
              </w:rPr>
              <w:t xml:space="preserve">[ District Leadership Org Chart ]</w:t>
            </w:r>
          </w:p>
          <w:p>
            <w:pPr>
              <w:jc w:val="center"/>
            </w:pPr>
            <w:r>
              <w:rPr>
                <w:rFonts w:ascii="Arial" w:cs="Arial" w:eastAsia="Arial" w:hAnsi="Arial"/>
                <w:i/>
                <w:iCs/>
                <w:color w:val="595959"/>
                <w:sz w:val="18"/>
                <w:szCs w:val="18"/>
              </w:rPr>
              <w:t xml:space="preserve">Insert Timothy L Johnson District Leadership Team graphic here</w:t>
            </w:r>
          </w:p>
        </w:tc>
      </w:tr>
    </w:tbl>
    <w:p>
      <w:pPr>
        <w:spacing w:after="80" w:before="8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500"/>
        <w:gridCol w:w="6860"/>
      </w:tblGrid>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Superintendent</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Dawn Starks — dawn.starks@tljacademy.org • Cell: 260-410-8627</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Deputy Superintendent</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Dr. Brad Yoder — brad.yoder@tljacademy.org • Cell: 260-901-9165</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Dir. ELL / Compliance / Technology / SIS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Mikael Badgett — mikael.badgett@tljacademy.org • Cell: 260-466-2528</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Athletic Director (Leader in Training)</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Kaylie Davidhizar — kaylie.davidhizar@tljacademy.org</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Instructional Coach (Leader in Training)</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Rachel Bushong</w:t>
            </w:r>
          </w:p>
        </w:tc>
      </w:tr>
    </w:tbl>
    <w:p>
      <w:pPr>
        <w:spacing w:after="80" w:before="8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500"/>
        <w:gridCol w:w="6860"/>
      </w:tblGrid>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Main Office</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(260) 441-8727</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Attendance Line</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(260) 441-8727</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Fax</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(260) 441-9357</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Office Hours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8:00 AM – 4:00 PM (School Year) • 9:00 AM – 3:00 PM (Summer/Breaks)</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Website</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tlja.org</w:t>
            </w:r>
          </w:p>
        </w:tc>
      </w:tr>
    </w:tbl>
    <w:p>
      <w:pPr>
        <w:spacing w:after="80" w:before="80"/>
      </w:pPr>
    </w:p>
    <w:p>
      <w:pPr>
        <w:pStyle w:val="Heading3"/>
        <w:spacing w:after="60" w:before="120"/>
      </w:pPr>
      <w:r>
        <w:rPr>
          <w:rFonts w:ascii="Arial" w:cs="Arial" w:eastAsia="Arial" w:hAnsi="Arial"/>
          <w:b/>
          <w:bCs/>
          <w:color w:val="2E75B6"/>
          <w:sz w:val="22"/>
          <w:szCs w:val="22"/>
        </w:rPr>
        <w:t xml:space="preserve">Board of Directors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500"/>
        <w:gridCol w:w="6860"/>
      </w:tblGrid>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President</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Larry Rowland</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Vice President</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Thomas Herr</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Secretary</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Alan Hofer</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Trustees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Fred Eckart • Alan Hofer • Michael Lindavall • Thamay Paw • Alan Grinsfelder (Emeritus)</w:t>
            </w:r>
          </w:p>
        </w:tc>
      </w:tr>
    </w:tbl>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Mission, Vision &amp; Core Beliefs</w:t>
            </w:r>
          </w:p>
        </w:tc>
      </w:tr>
    </w:tbl>
    <w:p>
      <w:pPr>
        <w:spacing w:after="80" w:before="80"/>
      </w:pPr>
    </w:p>
    <w:p>
      <w:pPr>
        <w:pStyle w:val="Heading3"/>
        <w:spacing w:after="60" w:before="120"/>
      </w:pPr>
      <w:r>
        <w:rPr>
          <w:rFonts w:ascii="Arial" w:cs="Arial" w:eastAsia="Arial" w:hAnsi="Arial"/>
          <w:b/>
          <w:bCs/>
          <w:color w:val="2E75B6"/>
          <w:sz w:val="22"/>
          <w:szCs w:val="22"/>
        </w:rPr>
        <w:t xml:space="preserve">Mission Statement</w:t>
      </w:r>
    </w:p>
    <w:p>
      <w:pPr>
        <w:spacing w:after="80" w:before="80"/>
      </w:pPr>
      <w:r>
        <w:rPr>
          <w:rFonts w:ascii="Arial" w:cs="Arial" w:eastAsia="Arial" w:hAnsi="Arial"/>
          <w:color w:val="333333"/>
          <w:sz w:val="20"/>
          <w:szCs w:val="20"/>
        </w:rPr>
        <w:t xml:space="preserve">The mission of Timothy L. Johnson Academy is to provide equitable, high-quality educational opportunities that empower all scholars in Allen County to thrive academically, socially, and personally. We are committed to a dynamic learning environment where education is the centerpiece of students’ lives — one that embraces real-world learning experiences and prepares every scholar for lifelong success through global awareness, community engagement, economic literacy, entrepreneurial spirit, and environmental sustainability.</w:t>
      </w:r>
    </w:p>
    <w:p>
      <w:pPr>
        <w:spacing w:after="80" w:before="80"/>
      </w:pPr>
    </w:p>
    <w:p>
      <w:pPr>
        <w:pStyle w:val="Heading3"/>
        <w:spacing w:after="60" w:before="120"/>
      </w:pPr>
      <w:r>
        <w:rPr>
          <w:rFonts w:ascii="Arial" w:cs="Arial" w:eastAsia="Arial" w:hAnsi="Arial"/>
          <w:b/>
          <w:bCs/>
          <w:color w:val="2E75B6"/>
          <w:sz w:val="22"/>
          <w:szCs w:val="22"/>
        </w:rPr>
        <w:t xml:space="preserve">Philosophy</w:t>
      </w:r>
    </w:p>
    <w:p>
      <w:pPr>
        <w:spacing w:after="80" w:before="80"/>
      </w:pPr>
      <w:r>
        <w:rPr>
          <w:rFonts w:ascii="Arial" w:cs="Arial" w:eastAsia="Arial" w:hAnsi="Arial"/>
          <w:color w:val="333333"/>
          <w:sz w:val="20"/>
          <w:szCs w:val="20"/>
        </w:rPr>
        <w:t xml:space="preserve">We believe that each scholar can learn and achieve personal success through learning opportunities appropriate to their ability level and future plans. We recognize the need to educate the total child so that every scholar has the opportunity to achieve their maximum potential — whether that means higher education, entry into the workforce, or pursuit of a trade or vocation.</w:t>
      </w:r>
    </w:p>
    <w:p>
      <w:pPr>
        <w:spacing w:after="80" w:before="80"/>
      </w:pPr>
    </w:p>
    <w:p>
      <w:pPr>
        <w:pStyle w:val="Heading3"/>
        <w:spacing w:after="60" w:before="120"/>
      </w:pPr>
      <w:r>
        <w:rPr>
          <w:rFonts w:ascii="Arial" w:cs="Arial" w:eastAsia="Arial" w:hAnsi="Arial"/>
          <w:b/>
          <w:bCs/>
          <w:color w:val="2E75B6"/>
          <w:sz w:val="22"/>
          <w:szCs w:val="22"/>
        </w:rPr>
        <w:t xml:space="preserve">Statement of Beliefs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a community of learners must celebrate students’ strengths, interests, and abilities.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young people need relationships that foster their sense of worth and value to society.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children must attend school consistently.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students deserve the best that society, educational institutions, and educators can offer.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proven teaching strategies drawn from effective research and practice enable students to excel.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a successful education program helps all students grow to their fullest potential.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parental involvement in a child’s education is essential.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 believe that educational choices made early have the greatest impact on a student’s future.</w:t>
      </w:r>
    </w:p>
    <w:p>
      <w:pPr>
        <w:spacing w:after="80" w:before="80"/>
      </w:pPr>
    </w:p>
    <w:p>
      <w:pPr>
        <w:pStyle w:val="Heading3"/>
        <w:spacing w:after="60" w:before="120"/>
      </w:pPr>
      <w:r>
        <w:rPr>
          <w:rFonts w:ascii="Arial" w:cs="Arial" w:eastAsia="Arial" w:hAnsi="Arial"/>
          <w:b/>
          <w:bCs/>
          <w:color w:val="2E75B6"/>
          <w:sz w:val="22"/>
          <w:szCs w:val="22"/>
        </w:rPr>
        <w:t xml:space="preserve">Objectives — Our Commitments</w:t>
      </w:r>
    </w:p>
    <w:p>
      <w:pPr>
        <w:spacing w:after="80" w:before="80"/>
      </w:pPr>
      <w:r>
        <w:rPr>
          <w:rFonts w:ascii="Arial" w:cs="Arial" w:eastAsia="Arial" w:hAnsi="Arial"/>
          <w:b/>
          <w:bCs/>
          <w:color w:val="1F3864"/>
          <w:sz w:val="20"/>
          <w:szCs w:val="20"/>
        </w:rPr>
        <w:t xml:space="preserve">Toward Scholars: </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Diversified programs to prepare scholars for higher education, workforce, or skilled trades.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Quality career guidance for all students.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High academic standards with recognition of success and support for all learners.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Opportunities to develop 21st-century skills: teamwork, critical thinking, and reliability.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Free public education for all youth, regardless of background, socioeconomic status, race, or gender.</w:t>
      </w:r>
    </w:p>
    <w:p>
      <w:pPr>
        <w:spacing w:after="80" w:before="80"/>
      </w:pPr>
      <w:r>
        <w:rPr>
          <w:rFonts w:ascii="Arial" w:cs="Arial" w:eastAsia="Arial" w:hAnsi="Arial"/>
          <w:b/>
          <w:bCs/>
          <w:color w:val="1F3864"/>
          <w:sz w:val="20"/>
          <w:szCs w:val="20"/>
        </w:rPr>
        <w:t xml:space="preserve">Toward Families: </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Open, honest communication about academic progress and behavior.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Opportunities to meet with faculty and leaders throughout the year.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Advance notice of significant changes in a scholar’s academic or social performance.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Active partnership in scheduling, career guidance, and school events.</w:t>
      </w:r>
    </w:p>
    <w:p>
      <w:pPr>
        <w:spacing w:after="80" w:before="80"/>
      </w:pPr>
      <w:r>
        <w:rPr>
          <w:rFonts w:ascii="Arial" w:cs="Arial" w:eastAsia="Arial" w:hAnsi="Arial"/>
          <w:b/>
          <w:bCs/>
          <w:color w:val="1F3864"/>
          <w:sz w:val="20"/>
          <w:szCs w:val="20"/>
        </w:rPr>
        <w:t xml:space="preserve">Toward the Community: </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Regular communication about TLJA activities and scholar accomplishments.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Collaboration with community partners as a resource for our scholars.</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Programs &amp; Highlighted Offerings</w:t>
            </w:r>
          </w:p>
        </w:tc>
      </w:tr>
    </w:tbl>
    <w:p>
      <w:pPr>
        <w:spacing w:after="80" w:before="80"/>
      </w:pPr>
    </w:p>
    <w:p>
      <w:pPr>
        <w:pStyle w:val="Heading3"/>
        <w:spacing w:after="60" w:before="120"/>
      </w:pPr>
      <w:r>
        <w:rPr>
          <w:rFonts w:ascii="Arial" w:cs="Arial" w:eastAsia="Arial" w:hAnsi="Arial"/>
          <w:b/>
          <w:bCs/>
          <w:color w:val="2E75B6"/>
          <w:sz w:val="22"/>
          <w:szCs w:val="22"/>
        </w:rPr>
        <w:t xml:space="preserve">K–5 Programs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Core curriculum: ELA, Mathematics, Science, Social Studies, and the Arts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English Learner (ELL) Services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Special Education and Section 504 supports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Reading interventions (Orton-Gillingham/SLANT)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PBIS — Positive Behavior Interventions and Supports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Social-Emotional Learning (SEL)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Physical Education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Media Center / Technology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Family/Community Outreach</w:t>
      </w:r>
    </w:p>
    <w:p>
      <w:pPr>
        <w:spacing w:after="80" w:before="80"/>
      </w:pPr>
    </w:p>
    <w:p>
      <w:pPr>
        <w:pStyle w:val="Heading3"/>
        <w:spacing w:after="60" w:before="120"/>
      </w:pPr>
      <w:r>
        <w:rPr>
          <w:rFonts w:ascii="Arial" w:cs="Arial" w:eastAsia="Arial" w:hAnsi="Arial"/>
          <w:b/>
          <w:bCs/>
          <w:color w:val="2E75B6"/>
          <w:sz w:val="22"/>
          <w:szCs w:val="22"/>
        </w:rPr>
        <w:t xml:space="preserve">Grades 6–8 Programs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CR-PBIS (Culturally Responsive Positive Behavior Interventions and Supports)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English Learner Services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Special Education and Section 504 supports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Academic Support / Differentiation Specialists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Boys and Girls Club</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Restorative Circles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Student Ambassadors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Jaguar Pride Assemblies and Student Recognition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Career Exploration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Financial Literacy and Civics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Yearbook, Clubs, Health and Wellness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Extracurricular Athletics</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The School Day</w:t>
            </w:r>
          </w:p>
        </w:tc>
      </w:tr>
    </w:tbl>
    <w:p>
      <w:pPr>
        <w:spacing w:after="80" w:before="80"/>
      </w:pPr>
    </w:p>
    <w:p>
      <w:pPr>
        <w:pStyle w:val="Heading3"/>
        <w:spacing w:after="60" w:before="120"/>
      </w:pPr>
      <w:r>
        <w:rPr>
          <w:rFonts w:ascii="Arial" w:cs="Arial" w:eastAsia="Arial" w:hAnsi="Arial"/>
          <w:b/>
          <w:bCs/>
          <w:color w:val="2E75B6"/>
          <w:sz w:val="22"/>
          <w:szCs w:val="22"/>
        </w:rPr>
        <w:t xml:space="preserve">K–5 Daily Schedule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500"/>
        <w:gridCol w:w="6860"/>
      </w:tblGrid>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Bus Arrival</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8:00 AM</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Class Begins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8:30 AM (Tardy after 9:00 AM)</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End of Day / Bus Dismissal</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2:45 PM</w:t>
            </w:r>
          </w:p>
        </w:tc>
      </w:tr>
    </w:tbl>
    <w:p>
      <w:pPr>
        <w:spacing w:after="80" w:before="80"/>
      </w:pPr>
    </w:p>
    <w:p>
      <w:pPr>
        <w:shd w:fill="D6E4F0" w:val="clear"/>
        <w:spacing w:after="60" w:before="60"/>
        <w:ind w:left="200" w:right="200"/>
      </w:pPr>
      <w:r>
        <w:rPr>
          <w:rFonts w:ascii="Arial" w:cs="Arial" w:eastAsia="Arial" w:hAnsi="Arial"/>
          <w:i/>
          <w:iCs/>
          <w:color w:val="1F3864"/>
          <w:sz w:val="18"/>
          <w:szCs w:val="18"/>
        </w:rPr>
        <w:t xml:space="preserve">Students should not arrive before 8:00 AM. Students arriving after 9:00 AM will be marked tardy.</w:t>
      </w:r>
    </w:p>
    <w:p>
      <w:pPr>
        <w:spacing w:after="80" w:before="80"/>
      </w:pPr>
    </w:p>
    <w:p>
      <w:pPr>
        <w:pStyle w:val="Heading3"/>
        <w:spacing w:after="60" w:before="120"/>
      </w:pPr>
      <w:r>
        <w:rPr>
          <w:rFonts w:ascii="Arial" w:cs="Arial" w:eastAsia="Arial" w:hAnsi="Arial"/>
          <w:b/>
          <w:bCs/>
          <w:color w:val="2E75B6"/>
          <w:sz w:val="22"/>
          <w:szCs w:val="22"/>
        </w:rPr>
        <w:t xml:space="preserve">Grades 6–8 Bell Schedule (A/B Day Rotation)</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single" w:color="2E75B6" w:sz="6"/>
              <w:left w:val="single" w:color="2E75B6" w:sz="6"/>
              <w:bottom w:val="single" w:color="2E75B6" w:sz="6"/>
              <w:right w:val="single" w:color="2E75B6" w:sz="6"/>
            </w:tcBorders>
            <w:shd w:fill="F2F2F2" w:val="clear"/>
            <w:tcMar>
              <w:top w:type="dxa" w:w="300"/>
              <w:left w:type="dxa" w:w="300"/>
              <w:bottom w:type="dxa" w:w="300"/>
              <w:right w:type="dxa" w:w="300"/>
            </w:tcMar>
          </w:tcPr>
          <w:p>
            <w:pPr>
              <w:spacing w:after="60" w:before="0"/>
              <w:jc w:val="center"/>
            </w:pPr>
            <w:r>
              <w:rPr>
                <w:rFonts w:ascii="Arial" w:cs="Arial" w:eastAsia="Arial" w:hAnsi="Arial"/>
                <w:b/>
                <w:bCs/>
                <w:color w:val="1F3864"/>
                <w:sz w:val="22"/>
                <w:szCs w:val="22"/>
              </w:rPr>
              <w:t xml:space="preserve">[ 2026–2027 Grades 6–8 Bell Schedule ]</w:t>
            </w:r>
          </w:p>
          <w:p>
            <w:pPr>
              <w:jc w:val="center"/>
            </w:pPr>
            <w:r>
              <w:rPr>
                <w:rFonts w:ascii="Arial" w:cs="Arial" w:eastAsia="Arial" w:hAnsi="Arial"/>
                <w:i/>
                <w:iCs/>
                <w:color w:val="595959"/>
                <w:sz w:val="18"/>
                <w:szCs w:val="18"/>
              </w:rPr>
              <w:t xml:space="preserve">Course rotation schedule to be inserted here</w:t>
            </w:r>
          </w:p>
        </w:tc>
      </w:tr>
    </w:tbl>
    <w:p>
      <w:pPr>
        <w:spacing w:after="80" w:before="80"/>
      </w:pPr>
    </w:p>
    <w:p>
      <w:pPr>
        <w:pStyle w:val="Heading3"/>
        <w:spacing w:after="60" w:before="120"/>
      </w:pPr>
      <w:r>
        <w:rPr>
          <w:rFonts w:ascii="Arial" w:cs="Arial" w:eastAsia="Arial" w:hAnsi="Arial"/>
          <w:b/>
          <w:bCs/>
          <w:color w:val="2E75B6"/>
          <w:sz w:val="22"/>
          <w:szCs w:val="22"/>
        </w:rPr>
        <w:t xml:space="preserve">After School</w:t>
      </w:r>
    </w:p>
    <w:p>
      <w:pPr>
        <w:spacing w:after="80" w:before="80"/>
      </w:pPr>
      <w:r>
        <w:rPr>
          <w:rFonts w:ascii="Arial" w:cs="Arial" w:eastAsia="Arial" w:hAnsi="Arial"/>
          <w:color w:val="333333"/>
          <w:sz w:val="20"/>
          <w:szCs w:val="20"/>
        </w:rPr>
        <w:t xml:space="preserve">Scholars who remain after dismissal must be supervised by a staff member, coach, or enrolled in the Boys and Girls Club program. Scholars not under supervision will be asked to leave school grounds.</w:t>
      </w:r>
    </w:p>
    <w:p>
      <w:pPr>
        <w:spacing w:after="80" w:before="80"/>
      </w:pPr>
    </w:p>
    <w:p>
      <w:pPr>
        <w:pStyle w:val="Heading3"/>
        <w:spacing w:after="60" w:before="120"/>
      </w:pPr>
      <w:r>
        <w:rPr>
          <w:rFonts w:ascii="Arial" w:cs="Arial" w:eastAsia="Arial" w:hAnsi="Arial"/>
          <w:b/>
          <w:bCs/>
          <w:color w:val="2E75B6"/>
          <w:sz w:val="22"/>
          <w:szCs w:val="22"/>
        </w:rPr>
        <w:t xml:space="preserve">Backpack Policy (Grades 6–8)</w:t>
      </w:r>
    </w:p>
    <w:p>
      <w:pPr>
        <w:spacing w:after="80" w:before="80"/>
      </w:pPr>
      <w:r>
        <w:rPr>
          <w:rFonts w:ascii="Arial" w:cs="Arial" w:eastAsia="Arial" w:hAnsi="Arial"/>
          <w:color w:val="333333"/>
          <w:sz w:val="20"/>
          <w:szCs w:val="20"/>
        </w:rPr>
        <w:t xml:space="preserve">Backpacks are permitted to transport items between home and school but must remain in scholar lockers throughout the school day. Only the assigned Yondr phone bag may be carried in hallways or classrooms. Personal hygiene needs will be accommodated by the office.</w:t>
      </w:r>
    </w:p>
    <w:p>
      <w:pPr>
        <w:spacing w:after="80" w:before="80"/>
      </w:pPr>
    </w:p>
    <w:p>
      <w:pPr>
        <w:pStyle w:val="Heading3"/>
        <w:spacing w:after="60" w:before="120"/>
      </w:pPr>
      <w:r>
        <w:rPr>
          <w:rFonts w:ascii="Arial" w:cs="Arial" w:eastAsia="Arial" w:hAnsi="Arial"/>
          <w:b/>
          <w:bCs/>
          <w:color w:val="2E75B6"/>
          <w:sz w:val="22"/>
          <w:szCs w:val="22"/>
        </w:rPr>
        <w:t xml:space="preserve">Lunchroom Procedures</w:t>
      </w:r>
    </w:p>
    <w:p>
      <w:pPr>
        <w:spacing w:after="80" w:before="80"/>
      </w:pPr>
      <w:r>
        <w:rPr>
          <w:rFonts w:ascii="Arial" w:cs="Arial" w:eastAsia="Arial" w:hAnsi="Arial"/>
          <w:color w:val="333333"/>
          <w:sz w:val="20"/>
          <w:szCs w:val="20"/>
        </w:rPr>
        <w:t xml:space="preserve">All scholars are expected to follow lunchroom procedures and maintain positive behavior so that everyone can enjoy the meal period. Breakfast and lunch are served at no charge as part of the USDA Child Nutrition Program.</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Attendance Policies &amp; Procedures</w:t>
            </w:r>
          </w:p>
        </w:tc>
      </w:tr>
    </w:tbl>
    <w:p>
      <w:pPr>
        <w:spacing w:after="80" w:before="80"/>
      </w:pPr>
    </w:p>
    <w:p>
      <w:pPr>
        <w:spacing w:after="80" w:before="80"/>
      </w:pPr>
      <w:r>
        <w:rPr>
          <w:rFonts w:ascii="Arial" w:cs="Arial" w:eastAsia="Arial" w:hAnsi="Arial"/>
          <w:color w:val="333333"/>
          <w:sz w:val="20"/>
          <w:szCs w:val="20"/>
        </w:rPr>
        <w:t xml:space="preserve">The State of Indiana requires all children between the ages of seven and eighteen to attend school every day that school is in session (I.C. 20-33-2-6). TLJA takes attendance seriously — consistent attendance is one of the most important factors in a scholar’s success.</w:t>
      </w:r>
    </w:p>
    <w:p>
      <w:pPr>
        <w:spacing w:after="80" w:before="80"/>
      </w:pPr>
    </w:p>
    <w:p>
      <w:pPr>
        <w:pStyle w:val="Heading3"/>
        <w:spacing w:after="60" w:before="120"/>
      </w:pPr>
      <w:r>
        <w:rPr>
          <w:rFonts w:ascii="Arial" w:cs="Arial" w:eastAsia="Arial" w:hAnsi="Arial"/>
          <w:b/>
          <w:bCs/>
          <w:color w:val="2E75B6"/>
          <w:sz w:val="22"/>
          <w:szCs w:val="22"/>
        </w:rPr>
        <w:t xml:space="preserve">Reporting an Absence</w:t>
      </w:r>
    </w:p>
    <w:p>
      <w:pPr>
        <w:spacing w:after="80" w:before="80"/>
      </w:pPr>
      <w:r>
        <w:rPr>
          <w:rFonts w:ascii="Arial" w:cs="Arial" w:eastAsia="Arial" w:hAnsi="Arial"/>
          <w:color w:val="333333"/>
          <w:sz w:val="20"/>
          <w:szCs w:val="20"/>
        </w:rPr>
        <w:t xml:space="preserve">If your child will be absent, please call the main school number at (260) 441-8727 between 7:00 and 9:00 AM. Parents/guardians must provide a reason for the absence within three school days; otherwise, the absence will be recorded as unexcused/truant.</w:t>
      </w:r>
    </w:p>
    <w:p>
      <w:pPr>
        <w:spacing w:after="80" w:before="80"/>
      </w:pPr>
    </w:p>
    <w:p>
      <w:pPr>
        <w:pStyle w:val="Heading3"/>
        <w:spacing w:after="60" w:before="120"/>
      </w:pPr>
      <w:r>
        <w:rPr>
          <w:rFonts w:ascii="Arial" w:cs="Arial" w:eastAsia="Arial" w:hAnsi="Arial"/>
          <w:b/>
          <w:bCs/>
          <w:color w:val="2E75B6"/>
          <w:sz w:val="22"/>
          <w:szCs w:val="22"/>
        </w:rPr>
        <w:t xml:space="preserve">Tardiness</w:t>
      </w:r>
    </w:p>
    <w:p>
      <w:pPr>
        <w:spacing w:after="80" w:before="80"/>
      </w:pPr>
      <w:r>
        <w:rPr>
          <w:rFonts w:ascii="Arial" w:cs="Arial" w:eastAsia="Arial" w:hAnsi="Arial"/>
          <w:b/>
          <w:bCs/>
          <w:color w:val="1F3864"/>
          <w:sz w:val="20"/>
          <w:szCs w:val="20"/>
        </w:rPr>
        <w:t xml:space="preserve">K–5: </w:t>
      </w:r>
      <w:r>
        <w:rPr>
          <w:rFonts w:ascii="Arial" w:cs="Arial" w:eastAsia="Arial" w:hAnsi="Arial"/>
          <w:color w:val="333333"/>
          <w:sz w:val="20"/>
          <w:szCs w:val="20"/>
        </w:rPr>
        <w:t xml:space="preserve">Arrival after 9:00 AM is marked tardy. Repeated tardiness will result in a parent phone call.</w:t>
      </w:r>
    </w:p>
    <w:p>
      <w:pPr>
        <w:spacing w:after="80" w:before="80"/>
      </w:pPr>
      <w:r>
        <w:rPr>
          <w:rFonts w:ascii="Arial" w:cs="Arial" w:eastAsia="Arial" w:hAnsi="Arial"/>
          <w:b/>
          <w:bCs/>
          <w:color w:val="1F3864"/>
          <w:sz w:val="20"/>
          <w:szCs w:val="20"/>
        </w:rPr>
        <w:t xml:space="preserve">Grades 6–8: </w:t>
      </w:r>
      <w:r>
        <w:rPr>
          <w:rFonts w:ascii="Arial" w:cs="Arial" w:eastAsia="Arial" w:hAnsi="Arial"/>
          <w:color w:val="333333"/>
          <w:sz w:val="20"/>
          <w:szCs w:val="20"/>
        </w:rPr>
        <w:t xml:space="preserve">Scholars arriving late must report to the office for an admit slip. Arrival after 9:15 AM without an approved excuse will be considered truant for missed periods. Students in the building with time to reach first period but who are tardy are subject to automatic detention.</w:t>
      </w:r>
    </w:p>
    <w:p>
      <w:pPr>
        <w:spacing w:after="80" w:before="80"/>
      </w:pPr>
    </w:p>
    <w:p>
      <w:pPr>
        <w:pStyle w:val="Heading3"/>
        <w:spacing w:after="60" w:before="120"/>
      </w:pPr>
      <w:r>
        <w:rPr>
          <w:rFonts w:ascii="Arial" w:cs="Arial" w:eastAsia="Arial" w:hAnsi="Arial"/>
          <w:b/>
          <w:bCs/>
          <w:color w:val="2E75B6"/>
          <w:sz w:val="22"/>
          <w:szCs w:val="22"/>
        </w:rPr>
        <w:t xml:space="preserve">Excused Absences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Personal illness (absences exceeding 3 days require a physician’s note)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Doctor or dental appointment (not exceeding two hours, verified by provider)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Religious observances or instruction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Death in the immediate family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Military connected family absences (deployment/return)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Court-ordered appearances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Out-of-school suspension (counted as excused for reporting purposes)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Inclement weather as notified by TLJA</w:t>
      </w:r>
    </w:p>
    <w:p>
      <w:pPr>
        <w:spacing w:after="80" w:before="80"/>
      </w:pPr>
    </w:p>
    <w:p>
      <w:pPr>
        <w:pStyle w:val="Heading3"/>
        <w:spacing w:after="60" w:before="120"/>
      </w:pPr>
      <w:r>
        <w:rPr>
          <w:rFonts w:ascii="Arial" w:cs="Arial" w:eastAsia="Arial" w:hAnsi="Arial"/>
          <w:b/>
          <w:bCs/>
          <w:color w:val="2E75B6"/>
          <w:sz w:val="22"/>
          <w:szCs w:val="22"/>
        </w:rPr>
        <w:t xml:space="preserve">Unexcused Absences</w:t>
      </w:r>
    </w:p>
    <w:p>
      <w:pPr>
        <w:spacing w:after="80" w:before="80"/>
      </w:pPr>
      <w:r>
        <w:rPr>
          <w:rFonts w:ascii="Arial" w:cs="Arial" w:eastAsia="Arial" w:hAnsi="Arial"/>
          <w:color w:val="333333"/>
          <w:sz w:val="20"/>
          <w:szCs w:val="20"/>
        </w:rPr>
        <w:t xml:space="preserve">Any absence not meeting the criteria above is unexcused. Under IC 20-20-8-8, habitual truancy is defined as 10 or more unexcused absences within a school year. Chronic absenteeism is defined as missing 10% or more of the school year for any reason.</w:t>
      </w:r>
    </w:p>
    <w:p>
      <w:pPr>
        <w:spacing w:after="80" w:before="80"/>
      </w:pPr>
    </w:p>
    <w:p>
      <w:pPr>
        <w:pStyle w:val="Heading3"/>
        <w:spacing w:after="60" w:before="120"/>
      </w:pPr>
      <w:r>
        <w:rPr>
          <w:rFonts w:ascii="Arial" w:cs="Arial" w:eastAsia="Arial" w:hAnsi="Arial"/>
          <w:b/>
          <w:bCs/>
          <w:color w:val="2E75B6"/>
          <w:sz w:val="22"/>
          <w:szCs w:val="22"/>
        </w:rPr>
        <w:t xml:space="preserve">Closed Campus (Grades 6–8)</w:t>
      </w:r>
    </w:p>
    <w:p>
      <w:pPr>
        <w:spacing w:after="80" w:before="80"/>
      </w:pPr>
      <w:r>
        <w:rPr>
          <w:rFonts w:ascii="Arial" w:cs="Arial" w:eastAsia="Arial" w:hAnsi="Arial"/>
          <w:color w:val="333333"/>
          <w:sz w:val="20"/>
          <w:szCs w:val="20"/>
        </w:rPr>
        <w:t xml:space="preserve">The middle school campus is closed. Under no circumstances may a student leave school property after arriving without parent/guardian permission and an office sign-out. Students who leave without authorization and return to the building may be searched and consequences assigned.</w:t>
      </w:r>
    </w:p>
    <w:p>
      <w:pPr>
        <w:spacing w:after="80" w:before="80"/>
      </w:pPr>
    </w:p>
    <w:p>
      <w:pPr>
        <w:pStyle w:val="Heading3"/>
        <w:spacing w:after="60" w:before="120"/>
      </w:pPr>
      <w:r>
        <w:rPr>
          <w:rFonts w:ascii="Arial" w:cs="Arial" w:eastAsia="Arial" w:hAnsi="Arial"/>
          <w:b/>
          <w:bCs/>
          <w:color w:val="2E75B6"/>
          <w:sz w:val="22"/>
          <w:szCs w:val="22"/>
        </w:rPr>
        <w:t xml:space="preserve">Appointments</w:t>
      </w:r>
    </w:p>
    <w:p>
      <w:pPr>
        <w:spacing w:after="80" w:before="80"/>
      </w:pPr>
      <w:r>
        <w:rPr>
          <w:rFonts w:ascii="Arial" w:cs="Arial" w:eastAsia="Arial" w:hAnsi="Arial"/>
          <w:color w:val="333333"/>
          <w:sz w:val="20"/>
          <w:szCs w:val="20"/>
        </w:rPr>
        <w:t xml:space="preserve">A parent/guardian must send a note excusing the student for appointments. The student brings the note to the office before school to get a pass, then signs out at the time of departure. A parent/guardian must come to the office to sign out the student. Students must sign back in upon return.</w:t>
      </w:r>
    </w:p>
    <w:p>
      <w:pPr>
        <w:spacing w:after="80" w:before="80"/>
      </w:pPr>
    </w:p>
    <w:p>
      <w:pPr>
        <w:pStyle w:val="Heading3"/>
        <w:spacing w:after="60" w:before="120"/>
      </w:pPr>
      <w:r>
        <w:rPr>
          <w:rFonts w:ascii="Arial" w:cs="Arial" w:eastAsia="Arial" w:hAnsi="Arial"/>
          <w:b/>
          <w:bCs/>
          <w:color w:val="2E75B6"/>
          <w:sz w:val="22"/>
          <w:szCs w:val="22"/>
        </w:rPr>
        <w:t xml:space="preserve">Extended Absences</w:t>
      </w:r>
    </w:p>
    <w:p>
      <w:pPr>
        <w:spacing w:after="80" w:before="80"/>
      </w:pPr>
      <w:r>
        <w:rPr>
          <w:rFonts w:ascii="Arial" w:cs="Arial" w:eastAsia="Arial" w:hAnsi="Arial"/>
          <w:color w:val="333333"/>
          <w:sz w:val="20"/>
          <w:szCs w:val="20"/>
        </w:rPr>
        <w:t xml:space="preserve">Extended absences are strongly discouraged. If unavoidable, contact the office and teachers in advance to arrange for homework. All missed assignments and assessments will be expected to be completed.</w:t>
      </w:r>
    </w:p>
    <w:p>
      <w:pPr>
        <w:spacing w:after="80" w:before="80"/>
      </w:pPr>
    </w:p>
    <w:p>
      <w:pPr>
        <w:pStyle w:val="Heading3"/>
        <w:spacing w:after="60" w:before="120"/>
      </w:pPr>
      <w:r>
        <w:rPr>
          <w:rFonts w:ascii="Arial" w:cs="Arial" w:eastAsia="Arial" w:hAnsi="Arial"/>
          <w:b/>
          <w:bCs/>
          <w:color w:val="2E75B6"/>
          <w:sz w:val="22"/>
          <w:szCs w:val="22"/>
        </w:rPr>
        <w:t xml:space="preserve">Makeup Work</w:t>
      </w:r>
    </w:p>
    <w:p>
      <w:pPr>
        <w:spacing w:after="80" w:before="80"/>
      </w:pPr>
      <w:r>
        <w:rPr>
          <w:rFonts w:ascii="Arial" w:cs="Arial" w:eastAsia="Arial" w:hAnsi="Arial"/>
          <w:color w:val="333333"/>
          <w:sz w:val="20"/>
          <w:szCs w:val="20"/>
        </w:rPr>
        <w:t xml:space="preserve">Students with excused absences will receive the opportunity to make up work. The time frame is the total number of days absent plus one additional day. Students in grades 6–8 are responsible for obtaining missed assignments from each teacher upon return.</w:t>
      </w:r>
    </w:p>
    <w:p>
      <w:pPr>
        <w:spacing w:after="80" w:before="80"/>
      </w:pPr>
    </w:p>
    <w:p>
      <w:pPr>
        <w:pStyle w:val="Heading3"/>
        <w:spacing w:after="60" w:before="120"/>
      </w:pPr>
      <w:r>
        <w:rPr>
          <w:rFonts w:ascii="Arial" w:cs="Arial" w:eastAsia="Arial" w:hAnsi="Arial"/>
          <w:b/>
          <w:bCs/>
          <w:color w:val="2E75B6"/>
          <w:sz w:val="22"/>
          <w:szCs w:val="22"/>
        </w:rPr>
        <w:t xml:space="preserve">Withdrawals &amp; Transfers</w:t>
      </w:r>
    </w:p>
    <w:p>
      <w:pPr>
        <w:spacing w:after="80" w:before="80"/>
      </w:pPr>
      <w:r>
        <w:rPr>
          <w:rFonts w:ascii="Arial" w:cs="Arial" w:eastAsia="Arial" w:hAnsi="Arial"/>
          <w:color w:val="333333"/>
          <w:sz w:val="20"/>
          <w:szCs w:val="20"/>
        </w:rPr>
        <w:t xml:space="preserve">Please notify the office at least three to five days before a student’s last day. On the final day of attendance, the student should report to the counseling office to pick up a withdrawal form, obtain teacher signatures, and return all materials.</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Academics &amp; Grading</w:t>
            </w:r>
          </w:p>
        </w:tc>
      </w:tr>
    </w:tbl>
    <w:p>
      <w:pPr>
        <w:spacing w:after="80" w:before="80"/>
      </w:pPr>
    </w:p>
    <w:p>
      <w:pPr>
        <w:pStyle w:val="Heading3"/>
        <w:spacing w:after="60" w:before="120"/>
      </w:pPr>
      <w:r>
        <w:rPr>
          <w:rFonts w:ascii="Arial" w:cs="Arial" w:eastAsia="Arial" w:hAnsi="Arial"/>
          <w:b/>
          <w:bCs/>
          <w:color w:val="2E75B6"/>
          <w:sz w:val="22"/>
          <w:szCs w:val="22"/>
        </w:rPr>
        <w:t xml:space="preserve">K–5 Grading Scale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500"/>
        <w:gridCol w:w="6860"/>
      </w:tblGrid>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 (Mastery)</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100–90</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B (Meets Standard)</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89–80</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C (Approaching)</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79–70</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 / F (Remediation)</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69 and below</w:t>
            </w:r>
          </w:p>
        </w:tc>
      </w:tr>
    </w:tbl>
    <w:p>
      <w:pPr>
        <w:spacing w:after="80" w:before="80"/>
      </w:pPr>
      <w:r>
        <w:rPr>
          <w:rFonts w:ascii="Arial" w:cs="Arial" w:eastAsia="Arial" w:hAnsi="Arial"/>
          <w:color w:val="333333"/>
          <w:sz w:val="20"/>
          <w:szCs w:val="20"/>
        </w:rPr>
        <w:t xml:space="preserve">Kindergarten students receive a skill-based report card. Standard indicator scores (1–4) are used district-wide to communicate proficiency against state standards.</w:t>
      </w:r>
    </w:p>
    <w:p>
      <w:pPr>
        <w:spacing w:after="80" w:before="80"/>
      </w:pPr>
    </w:p>
    <w:p>
      <w:pPr>
        <w:pStyle w:val="Heading3"/>
        <w:spacing w:after="60" w:before="120"/>
      </w:pPr>
      <w:r>
        <w:rPr>
          <w:rFonts w:ascii="Arial" w:cs="Arial" w:eastAsia="Arial" w:hAnsi="Arial"/>
          <w:b/>
          <w:bCs/>
          <w:color w:val="2E75B6"/>
          <w:sz w:val="22"/>
          <w:szCs w:val="22"/>
        </w:rPr>
        <w:t xml:space="preserve">Grades 6–8 Grading Scale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 </w:t>
            </w:r>
            <w:r>
              <w:rPr>
                <w:rFonts w:ascii="Arial" w:cs="Arial" w:eastAsia="Arial" w:hAnsi="Arial"/>
                <w:color w:val="333333"/>
                <w:sz w:val="20"/>
                <w:szCs w:val="20"/>
              </w:rPr>
              <w:t xml:space="preserve">98–100</w:t>
            </w:r>
          </w:p>
        </w:tc>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B+: </w:t>
            </w:r>
            <w:r>
              <w:rPr>
                <w:rFonts w:ascii="Arial" w:cs="Arial" w:eastAsia="Arial" w:hAnsi="Arial"/>
                <w:color w:val="333333"/>
                <w:sz w:val="20"/>
                <w:szCs w:val="20"/>
              </w:rPr>
              <w:t xml:space="preserve">87–89</w:t>
            </w:r>
          </w:p>
        </w:tc>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C+: </w:t>
            </w:r>
            <w:r>
              <w:rPr>
                <w:rFonts w:ascii="Arial" w:cs="Arial" w:eastAsia="Arial" w:hAnsi="Arial"/>
                <w:color w:val="333333"/>
                <w:sz w:val="20"/>
                <w:szCs w:val="20"/>
              </w:rPr>
              <w:t xml:space="preserve">77–79</w:t>
            </w:r>
          </w:p>
        </w:tc>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 </w:t>
            </w:r>
            <w:r>
              <w:rPr>
                <w:rFonts w:ascii="Arial" w:cs="Arial" w:eastAsia="Arial" w:hAnsi="Arial"/>
                <w:color w:val="333333"/>
                <w:sz w:val="20"/>
                <w:szCs w:val="20"/>
              </w:rPr>
              <w:t xml:space="preserve">67–69</w:t>
            </w:r>
          </w:p>
        </w:tc>
      </w:tr>
      <w:tr>
        <w:tc>
          <w:tcPr>
            <w:tcW w:type="dxa" w:w="2340"/>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 </w:t>
            </w:r>
            <w:r>
              <w:rPr>
                <w:rFonts w:ascii="Arial" w:cs="Arial" w:eastAsia="Arial" w:hAnsi="Arial"/>
                <w:color w:val="333333"/>
                <w:sz w:val="20"/>
                <w:szCs w:val="20"/>
              </w:rPr>
              <w:t xml:space="preserve">93–97</w:t>
            </w:r>
          </w:p>
        </w:tc>
        <w:tc>
          <w:tcPr>
            <w:tcW w:type="dxa" w:w="2340"/>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B: </w:t>
            </w:r>
            <w:r>
              <w:rPr>
                <w:rFonts w:ascii="Arial" w:cs="Arial" w:eastAsia="Arial" w:hAnsi="Arial"/>
                <w:color w:val="333333"/>
                <w:sz w:val="20"/>
                <w:szCs w:val="20"/>
              </w:rPr>
              <w:t xml:space="preserve">83–86</w:t>
            </w:r>
          </w:p>
        </w:tc>
        <w:tc>
          <w:tcPr>
            <w:tcW w:type="dxa" w:w="2340"/>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C: </w:t>
            </w:r>
            <w:r>
              <w:rPr>
                <w:rFonts w:ascii="Arial" w:cs="Arial" w:eastAsia="Arial" w:hAnsi="Arial"/>
                <w:color w:val="333333"/>
                <w:sz w:val="20"/>
                <w:szCs w:val="20"/>
              </w:rPr>
              <w:t xml:space="preserve">73–76</w:t>
            </w:r>
          </w:p>
        </w:tc>
        <w:tc>
          <w:tcPr>
            <w:tcW w:type="dxa" w:w="2340"/>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 </w:t>
            </w:r>
            <w:r>
              <w:rPr>
                <w:rFonts w:ascii="Arial" w:cs="Arial" w:eastAsia="Arial" w:hAnsi="Arial"/>
                <w:color w:val="333333"/>
                <w:sz w:val="20"/>
                <w:szCs w:val="20"/>
              </w:rPr>
              <w:t xml:space="preserve">63–66</w:t>
            </w:r>
          </w:p>
        </w:tc>
      </w:tr>
      <w:tr>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 </w:t>
            </w:r>
            <w:r>
              <w:rPr>
                <w:rFonts w:ascii="Arial" w:cs="Arial" w:eastAsia="Arial" w:hAnsi="Arial"/>
                <w:color w:val="333333"/>
                <w:sz w:val="20"/>
                <w:szCs w:val="20"/>
              </w:rPr>
              <w:t xml:space="preserve">90–92</w:t>
            </w:r>
          </w:p>
        </w:tc>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B-: </w:t>
            </w:r>
            <w:r>
              <w:rPr>
                <w:rFonts w:ascii="Arial" w:cs="Arial" w:eastAsia="Arial" w:hAnsi="Arial"/>
                <w:color w:val="333333"/>
                <w:sz w:val="20"/>
                <w:szCs w:val="20"/>
              </w:rPr>
              <w:t xml:space="preserve">80–82</w:t>
            </w:r>
          </w:p>
        </w:tc>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C-: </w:t>
            </w:r>
            <w:r>
              <w:rPr>
                <w:rFonts w:ascii="Arial" w:cs="Arial" w:eastAsia="Arial" w:hAnsi="Arial"/>
                <w:color w:val="333333"/>
                <w:sz w:val="20"/>
                <w:szCs w:val="20"/>
              </w:rPr>
              <w:t xml:space="preserve">70–72</w:t>
            </w:r>
          </w:p>
        </w:tc>
        <w:tc>
          <w:tcPr>
            <w:tcW w:type="dxa" w:w="234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 </w:t>
            </w:r>
            <w:r>
              <w:rPr>
                <w:rFonts w:ascii="Arial" w:cs="Arial" w:eastAsia="Arial" w:hAnsi="Arial"/>
                <w:color w:val="333333"/>
                <w:sz w:val="20"/>
                <w:szCs w:val="20"/>
              </w:rPr>
              <w:t xml:space="preserve">60–62</w:t>
            </w:r>
          </w:p>
        </w:tc>
      </w:tr>
      <w:tr>
        <w:tc>
          <w:tcPr>
            <w:tcW w:type="dxa" w:w="2340"/>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F: </w:t>
            </w:r>
            <w:r>
              <w:rPr>
                <w:rFonts w:ascii="Arial" w:cs="Arial" w:eastAsia="Arial" w:hAnsi="Arial"/>
                <w:color w:val="333333"/>
                <w:sz w:val="20"/>
                <w:szCs w:val="20"/>
              </w:rPr>
              <w:t xml:space="preserve">59 and below</w:t>
            </w:r>
          </w:p>
        </w:tc>
        <w:tc>
          <w:tcPr>
            <w:tcW w:type="dxa" w:w="7020"/>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80" w:before="80"/>
            </w:pPr>
            <w:r>
              <w:rPr>
                <w:rFonts w:ascii="Arial" w:cs="Arial" w:eastAsia="Arial" w:hAnsi="Arial"/>
                <w:color w:val="333333"/>
                <w:sz w:val="20"/>
                <w:szCs w:val="20"/>
              </w:rPr>
              <w:t xml:space="preserve">State Standard scores (1–3) are also reported alongside letter grades.</w:t>
            </w:r>
          </w:p>
        </w:tc>
      </w:tr>
    </w:tbl>
    <w:p>
      <w:pPr>
        <w:spacing w:after="80" w:before="80"/>
      </w:pPr>
    </w:p>
    <w:p>
      <w:pPr>
        <w:pStyle w:val="Heading3"/>
        <w:spacing w:after="60" w:before="120"/>
      </w:pPr>
      <w:r>
        <w:rPr>
          <w:rFonts w:ascii="Arial" w:cs="Arial" w:eastAsia="Arial" w:hAnsi="Arial"/>
          <w:b/>
          <w:bCs/>
          <w:color w:val="2E75B6"/>
          <w:sz w:val="22"/>
          <w:szCs w:val="22"/>
        </w:rPr>
        <w:t xml:space="preserve">Honor Roll (Grades 6–8)</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 Honor Roll: GPA of 3.66 or higher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 Honor Roll: GPA of 2.66–3.65</w:t>
      </w:r>
    </w:p>
    <w:p>
      <w:pPr>
        <w:spacing w:after="80" w:before="80"/>
      </w:pPr>
      <w:r>
        <w:rPr>
          <w:rFonts w:ascii="Arial" w:cs="Arial" w:eastAsia="Arial" w:hAnsi="Arial"/>
          <w:color w:val="333333"/>
          <w:sz w:val="20"/>
          <w:szCs w:val="20"/>
        </w:rPr>
        <w:t xml:space="preserve">Honor rolls are published each semester. Classes meeting every other day are calculated at 0.5 credit weight.</w:t>
      </w:r>
    </w:p>
    <w:p>
      <w:pPr>
        <w:spacing w:after="80" w:before="80"/>
      </w:pPr>
    </w:p>
    <w:p>
      <w:pPr>
        <w:pStyle w:val="Heading3"/>
        <w:spacing w:after="60" w:before="120"/>
      </w:pPr>
      <w:r>
        <w:rPr>
          <w:rFonts w:ascii="Arial" w:cs="Arial" w:eastAsia="Arial" w:hAnsi="Arial"/>
          <w:b/>
          <w:bCs/>
          <w:color w:val="2E75B6"/>
          <w:sz w:val="22"/>
          <w:szCs w:val="22"/>
        </w:rPr>
        <w:t xml:space="preserve">Report Cards &amp; Progress Monitoring</w:t>
      </w:r>
    </w:p>
    <w:p>
      <w:pPr>
        <w:spacing w:after="80" w:before="80"/>
      </w:pPr>
      <w:r>
        <w:rPr>
          <w:rFonts w:ascii="Arial" w:cs="Arial" w:eastAsia="Arial" w:hAnsi="Arial"/>
          <w:color w:val="333333"/>
          <w:sz w:val="20"/>
          <w:szCs w:val="20"/>
        </w:rPr>
        <w:t xml:space="preserve">Report cards are issued at the completion of each quarter. Progress can be monitored at any time through PowerSchool and Google Classroom, accessible from any internet-connected device. Parents may access their scholar’s attendance, schedule, and grades by picking up PowerSchool registration materials from the main office.</w:t>
      </w:r>
    </w:p>
    <w:p>
      <w:pPr>
        <w:spacing w:after="80" w:before="80"/>
      </w:pPr>
    </w:p>
    <w:p>
      <w:pPr>
        <w:pStyle w:val="Heading3"/>
        <w:spacing w:after="60" w:before="120"/>
      </w:pPr>
      <w:r>
        <w:rPr>
          <w:rFonts w:ascii="Arial" w:cs="Arial" w:eastAsia="Arial" w:hAnsi="Arial"/>
          <w:b/>
          <w:bCs/>
          <w:color w:val="2E75B6"/>
          <w:sz w:val="22"/>
          <w:szCs w:val="22"/>
        </w:rPr>
        <w:t xml:space="preserve">Late &amp; Absent Work</w:t>
      </w:r>
    </w:p>
    <w:p>
      <w:pPr>
        <w:spacing w:after="80" w:before="80"/>
      </w:pPr>
      <w:r>
        <w:rPr>
          <w:rFonts w:ascii="Arial" w:cs="Arial" w:eastAsia="Arial" w:hAnsi="Arial"/>
          <w:color w:val="333333"/>
          <w:sz w:val="20"/>
          <w:szCs w:val="20"/>
        </w:rPr>
        <w:t xml:space="preserve">Scholars are expected to complete assignments in the time allotted. If an extension is needed, scholars must communicate with the teacher immediately to set a revised schedule. One makeup day is provided per excused absence.</w:t>
      </w:r>
    </w:p>
    <w:p>
      <w:pPr>
        <w:spacing w:after="80" w:before="80"/>
      </w:pPr>
    </w:p>
    <w:p>
      <w:pPr>
        <w:pStyle w:val="Heading3"/>
        <w:spacing w:after="60" w:before="120"/>
      </w:pPr>
      <w:r>
        <w:rPr>
          <w:rFonts w:ascii="Arial" w:cs="Arial" w:eastAsia="Arial" w:hAnsi="Arial"/>
          <w:b/>
          <w:bCs/>
          <w:color w:val="2E75B6"/>
          <w:sz w:val="22"/>
          <w:szCs w:val="22"/>
        </w:rPr>
        <w:t xml:space="preserve">Grades 6–8 Retention Guidelines</w:t>
      </w:r>
    </w:p>
    <w:p>
      <w:pPr>
        <w:spacing w:after="80" w:before="80"/>
      </w:pPr>
      <w:r>
        <w:rPr>
          <w:rFonts w:ascii="Arial" w:cs="Arial" w:eastAsia="Arial" w:hAnsi="Arial"/>
          <w:color w:val="333333"/>
          <w:sz w:val="20"/>
          <w:szCs w:val="20"/>
        </w:rPr>
        <w:t xml:space="preserve">Repeating a single core class is determined as follows: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Full-year students: Fail all 4 quarters of any core subject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Partial-year scholars: Fail 2 of 2 semesters of any core subject</w:t>
      </w:r>
    </w:p>
    <w:p>
      <w:pPr>
        <w:spacing w:after="80" w:before="80"/>
      </w:pPr>
      <w:r>
        <w:rPr>
          <w:rFonts w:ascii="Arial" w:cs="Arial" w:eastAsia="Arial" w:hAnsi="Arial"/>
          <w:b/>
          <w:bCs/>
          <w:color w:val="1F3864"/>
          <w:sz w:val="20"/>
          <w:szCs w:val="20"/>
        </w:rPr>
        <w:t xml:space="preserve">Options for Science, ELA, Social Studies: </w:t>
      </w:r>
      <w:r>
        <w:rPr>
          <w:rFonts w:ascii="Arial" w:cs="Arial" w:eastAsia="Arial" w:hAnsi="Arial"/>
          <w:color w:val="333333"/>
          <w:sz w:val="20"/>
          <w:szCs w:val="20"/>
        </w:rPr>
        <w:t xml:space="preserve">Repeat one semester during the next school year, or pass an appropriate summer school class (at own expense, with prior building leader/counselor approval).</w:t>
      </w:r>
    </w:p>
    <w:p>
      <w:pPr>
        <w:spacing w:after="80" w:before="80"/>
      </w:pPr>
      <w:r>
        <w:rPr>
          <w:rFonts w:ascii="Arial" w:cs="Arial" w:eastAsia="Arial" w:hAnsi="Arial"/>
          <w:b/>
          <w:bCs/>
          <w:color w:val="1F3864"/>
          <w:sz w:val="20"/>
          <w:szCs w:val="20"/>
        </w:rPr>
        <w:t xml:space="preserve">Math (sequential): </w:t>
      </w:r>
      <w:r>
        <w:rPr>
          <w:rFonts w:ascii="Arial" w:cs="Arial" w:eastAsia="Arial" w:hAnsi="Arial"/>
          <w:color w:val="333333"/>
          <w:sz w:val="20"/>
          <w:szCs w:val="20"/>
        </w:rPr>
        <w:t xml:space="preserve">Failure of Math 6 = repeat Math 6; Failure of Math 7 = repeat Math 7; Failure of Math 8 = repeat Math 8. Summer school option available with prior approval.</w:t>
      </w:r>
    </w:p>
    <w:p>
      <w:pPr>
        <w:spacing w:after="80" w:before="80"/>
      </w:pPr>
      <w:r>
        <w:rPr>
          <w:rFonts w:ascii="Arial" w:cs="Arial" w:eastAsia="Arial" w:hAnsi="Arial"/>
          <w:b/>
          <w:bCs/>
          <w:color w:val="1F3864"/>
          <w:sz w:val="20"/>
          <w:szCs w:val="20"/>
        </w:rPr>
        <w:t xml:space="preserve">Repeat Entire Year: </w:t>
      </w:r>
      <w:r>
        <w:rPr>
          <w:rFonts w:ascii="Arial" w:cs="Arial" w:eastAsia="Arial" w:hAnsi="Arial"/>
          <w:color w:val="333333"/>
          <w:sz w:val="20"/>
          <w:szCs w:val="20"/>
        </w:rPr>
        <w:t xml:space="preserve">If a scholar fails 3 or more core areas for 2 or more semesters, the school reserves the right to require grade-level repetition. The building leader, in consultation with counselors, teachers, parents, and the scholar, retains the right to promote a student who would not benefit from retention.</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Dress Code</w:t>
            </w:r>
          </w:p>
        </w:tc>
      </w:tr>
    </w:tbl>
    <w:p>
      <w:pPr>
        <w:spacing w:after="80" w:before="80"/>
      </w:pPr>
    </w:p>
    <w:p>
      <w:pPr>
        <w:pStyle w:val="Heading3"/>
        <w:spacing w:after="60" w:before="120"/>
      </w:pPr>
      <w:r>
        <w:rPr>
          <w:rFonts w:ascii="Arial" w:cs="Arial" w:eastAsia="Arial" w:hAnsi="Arial"/>
          <w:b/>
          <w:bCs/>
          <w:color w:val="2E75B6"/>
          <w:sz w:val="22"/>
          <w:szCs w:val="22"/>
        </w:rPr>
        <w:t xml:space="preserve">K–5 Uniform Requirements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500"/>
        <w:gridCol w:w="6860"/>
      </w:tblGrid>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Pants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Navy, khaki, or black. No jeans, baggy pants, or visible underwear. Belt required.</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Shirts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Plain, collared — light blue, navy, white, or black. No prints, labels, or t-shirts.</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Sweaters/Hoodies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Solid light blue, navy, or white only. Please label.</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Footwear</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Closed-toe shoes only. No sandals, Crocs, or flip-flops.</w:t>
            </w:r>
          </w:p>
        </w:tc>
      </w:tr>
      <w:tr>
        <w:tc>
          <w:tcPr>
            <w:tcW w:type="dxa" w:w="25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Accessories</w:t>
            </w:r>
          </w:p>
        </w:tc>
        <w:tc>
          <w:tcPr>
            <w:tcW w:type="dxa" w:w="68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No make-up. Earrings: dime-sized or smaller hoops or posts only.</w:t>
            </w:r>
          </w:p>
        </w:tc>
      </w:tr>
    </w:tbl>
    <w:p>
      <w:pPr>
        <w:spacing w:after="80" w:before="80"/>
      </w:pPr>
    </w:p>
    <w:p>
      <w:pPr>
        <w:pStyle w:val="Heading3"/>
        <w:spacing w:after="60" w:before="120"/>
      </w:pPr>
      <w:r>
        <w:rPr>
          <w:rFonts w:ascii="Arial" w:cs="Arial" w:eastAsia="Arial" w:hAnsi="Arial"/>
          <w:b/>
          <w:bCs/>
          <w:color w:val="2E75B6"/>
          <w:sz w:val="22"/>
          <w:szCs w:val="22"/>
        </w:rPr>
        <w:t xml:space="preserve">Grades 6–8 Dress Expectations</w:t>
      </w:r>
    </w:p>
    <w:p>
      <w:pPr>
        <w:spacing w:after="80" w:before="80"/>
      </w:pPr>
      <w:r>
        <w:rPr>
          <w:rFonts w:ascii="Arial" w:cs="Arial" w:eastAsia="Arial" w:hAnsi="Arial"/>
          <w:color w:val="333333"/>
          <w:sz w:val="20"/>
          <w:szCs w:val="20"/>
        </w:rPr>
        <w:t xml:space="preserve">Students are expected to be clean, neat, and dressed appropriately. The following are not permitted:</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Clothing advertising substances illegal for juveniles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Sexually obscene, profane, or gang-related symbols, emblems, or language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Clothing that displays undergarments, bare midriffs, or cleavage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Ripped jeans (with or without leggings)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Hats, visors, or hooded sweatshirts with hoods up</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Slippers, slides, rollerblades, or footwear that could damage floors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Tank top straps thinner than two fingers’ width</w:t>
      </w:r>
    </w:p>
    <w:p>
      <w:pPr>
        <w:spacing w:after="80" w:before="80"/>
      </w:pPr>
    </w:p>
    <w:p>
      <w:pPr>
        <w:shd w:fill="D6E4F0" w:val="clear"/>
        <w:spacing w:after="60" w:before="60"/>
        <w:ind w:left="200" w:right="200"/>
      </w:pPr>
      <w:r>
        <w:rPr>
          <w:rFonts w:ascii="Arial" w:cs="Arial" w:eastAsia="Arial" w:hAnsi="Arial"/>
          <w:i/>
          <w:iCs/>
          <w:color w:val="1F3864"/>
          <w:sz w:val="18"/>
          <w:szCs w:val="18"/>
        </w:rPr>
        <w:t xml:space="preserve">Parents: please conduct clothing checks at home before school. Students in violation will be expected to change. If no change of clothes is available, TLJA will provide appropriate clothing.</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Technology, Devices &amp; Acceptable Use</w:t>
            </w:r>
          </w:p>
        </w:tc>
      </w:tr>
    </w:tbl>
    <w:p>
      <w:pPr>
        <w:spacing w:after="80" w:before="80"/>
      </w:pPr>
    </w:p>
    <w:p>
      <w:pPr>
        <w:pStyle w:val="Heading3"/>
        <w:spacing w:after="60" w:before="120"/>
      </w:pPr>
      <w:r>
        <w:rPr>
          <w:rFonts w:ascii="Arial" w:cs="Arial" w:eastAsia="Arial" w:hAnsi="Arial"/>
          <w:b/>
          <w:bCs/>
          <w:color w:val="2E75B6"/>
          <w:sz w:val="22"/>
          <w:szCs w:val="22"/>
        </w:rPr>
        <w:t xml:space="preserve">General Technology Use</w:t>
      </w:r>
    </w:p>
    <w:p>
      <w:pPr>
        <w:spacing w:after="80" w:before="80"/>
      </w:pPr>
      <w:r>
        <w:rPr>
          <w:rFonts w:ascii="Arial" w:cs="Arial" w:eastAsia="Arial" w:hAnsi="Arial"/>
          <w:color w:val="333333"/>
          <w:sz w:val="20"/>
          <w:szCs w:val="20"/>
        </w:rPr>
        <w:t xml:space="preserve">All students must adhere to TLJA technology use policies. School-issued devices, networks, and software are for educational purposes only. Any student accessing inappropriate programs or websites will be disciplined per school policy. Use of school technology is a privilege, not a right.</w:t>
      </w:r>
    </w:p>
    <w:p>
      <w:pPr>
        <w:spacing w:after="80" w:before="80"/>
      </w:pPr>
    </w:p>
    <w:p>
      <w:pPr>
        <w:pStyle w:val="Heading3"/>
        <w:spacing w:after="60" w:before="120"/>
      </w:pPr>
      <w:r>
        <w:rPr>
          <w:rFonts w:ascii="Arial" w:cs="Arial" w:eastAsia="Arial" w:hAnsi="Arial"/>
          <w:b/>
          <w:bCs/>
          <w:color w:val="2E75B6"/>
          <w:sz w:val="22"/>
          <w:szCs w:val="22"/>
        </w:rPr>
        <w:t xml:space="preserve">Cellular Phones &amp; Electronic Devices — K–5</w:t>
      </w:r>
    </w:p>
    <w:p>
      <w:pPr>
        <w:spacing w:after="80" w:before="80"/>
      </w:pPr>
      <w:r>
        <w:rPr>
          <w:rFonts w:ascii="Arial" w:cs="Arial" w:eastAsia="Arial" w:hAnsi="Arial"/>
          <w:color w:val="333333"/>
          <w:sz w:val="20"/>
          <w:szCs w:val="20"/>
        </w:rPr>
        <w:t xml:space="preserve">Cellular phones and electronic devices are not to be brought to school. They are disruptive to the learning process and will be confiscated by staff for return to parents/guardians only. TLJA is not responsible for lost or stolen devices brought against policy.</w:t>
      </w:r>
    </w:p>
    <w:p>
      <w:pPr>
        <w:spacing w:after="80" w:before="80"/>
      </w:pPr>
    </w:p>
    <w:p>
      <w:pPr>
        <w:pStyle w:val="Heading3"/>
        <w:spacing w:after="60" w:before="120"/>
      </w:pPr>
      <w:r>
        <w:rPr>
          <w:rFonts w:ascii="Arial" w:cs="Arial" w:eastAsia="Arial" w:hAnsi="Arial"/>
          <w:b/>
          <w:bCs/>
          <w:color w:val="2E75B6"/>
          <w:sz w:val="22"/>
          <w:szCs w:val="22"/>
        </w:rPr>
        <w:t xml:space="preserve">Wireless Communication Device Policy — Grades 6–8</w:t>
      </w:r>
    </w:p>
    <w:p>
      <w:pPr>
        <w:spacing w:after="80" w:before="80"/>
      </w:pPr>
      <w:r>
        <w:rPr>
          <w:rFonts w:ascii="Arial" w:cs="Arial" w:eastAsia="Arial" w:hAnsi="Arial"/>
          <w:color w:val="333333"/>
          <w:sz w:val="20"/>
          <w:szCs w:val="20"/>
        </w:rPr>
        <w:t xml:space="preserve">In accordance with IC 20-26-5-40.7 (effective July 1, 2024), the following policy applies to all middle school scholars: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Upon arriving at school, students must turn off all wireless communication devices.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Devices must be placed in the assigned Yondr pouch provided by the school.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Yondr pouches must be turned in to the homeroom teacher each morning.</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There is no expectation that any student will have a phone or device on their person or in their locker during the school day.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Exceptions apply for IEP/504 accommodations, emergencies, or teacher-authorized educational use.</w:t>
      </w:r>
    </w:p>
    <w:p>
      <w:pPr>
        <w:spacing w:after="80" w:before="80"/>
      </w:pPr>
    </w:p>
    <w:p>
      <w:pPr>
        <w:pStyle w:val="Heading3"/>
        <w:spacing w:after="60" w:before="120"/>
      </w:pPr>
      <w:r>
        <w:rPr>
          <w:rFonts w:ascii="Arial" w:cs="Arial" w:eastAsia="Arial" w:hAnsi="Arial"/>
          <w:b/>
          <w:bCs/>
          <w:color w:val="2E75B6"/>
          <w:sz w:val="22"/>
          <w:szCs w:val="22"/>
        </w:rPr>
        <w:t xml:space="preserve">iPads (All Grades K–8)</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All scholars in grades K–8 are expected to leave their district-issued iPad at school each day for use in cooperation with their teachers.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iPads must always be carried with both hands in their cases.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iPads must be fully charged each day.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Only authorized apps may be downloaded.</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Social media sites may not be accessed on TLJA devices or networks.</w:t>
      </w:r>
    </w:p>
    <w:p>
      <w:pPr>
        <w:spacing w:after="80" w:before="80"/>
      </w:pPr>
    </w:p>
    <w:p>
      <w:pPr>
        <w:pStyle w:val="Heading3"/>
        <w:spacing w:after="60" w:before="120"/>
      </w:pPr>
      <w:r>
        <w:rPr>
          <w:rFonts w:ascii="Arial" w:cs="Arial" w:eastAsia="Arial" w:hAnsi="Arial"/>
          <w:b/>
          <w:bCs/>
          <w:color w:val="2E75B6"/>
          <w:sz w:val="22"/>
          <w:szCs w:val="22"/>
        </w:rPr>
        <w:t xml:space="preserve">Password &amp; Account Security</w:t>
      </w:r>
    </w:p>
    <w:p>
      <w:pPr>
        <w:spacing w:after="80" w:before="80"/>
      </w:pPr>
      <w:r>
        <w:rPr>
          <w:rFonts w:ascii="Arial" w:cs="Arial" w:eastAsia="Arial" w:hAnsi="Arial"/>
          <w:color w:val="333333"/>
          <w:sz w:val="20"/>
          <w:szCs w:val="20"/>
        </w:rPr>
        <w:t xml:space="preserve">Students are responsible for maintaining the security of their username and password information. Attempting to access another student’s account will result in discipline per the TLJA Internet Acceptable Use and Safety Policy.</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Scholar Expectations &amp; Code of Conduct</w:t>
            </w:r>
          </w:p>
        </w:tc>
      </w:tr>
    </w:tbl>
    <w:p>
      <w:pPr>
        <w:spacing w:after="80" w:before="80"/>
      </w:pPr>
    </w:p>
    <w:p>
      <w:pPr>
        <w:pStyle w:val="Heading3"/>
        <w:spacing w:after="60" w:before="120"/>
      </w:pPr>
      <w:r>
        <w:rPr>
          <w:rFonts w:ascii="Arial" w:cs="Arial" w:eastAsia="Arial" w:hAnsi="Arial"/>
          <w:b/>
          <w:bCs/>
          <w:color w:val="2E75B6"/>
          <w:sz w:val="22"/>
          <w:szCs w:val="22"/>
        </w:rPr>
        <w:t xml:space="preserve">The TLJA Creed</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single" w:color="2E75B6" w:sz="6"/>
              <w:left w:val="single" w:color="2E75B6" w:sz="6"/>
              <w:bottom w:val="single" w:color="2E75B6" w:sz="6"/>
              <w:right w:val="single" w:color="2E75B6" w:sz="6"/>
            </w:tcBorders>
            <w:shd w:fill="D6E4F0" w:val="clear"/>
            <w:tcMar>
              <w:top w:type="dxa" w:w="160"/>
              <w:left w:type="dxa" w:w="300"/>
              <w:bottom w:type="dxa" w:w="160"/>
              <w:right w:type="dxa" w:w="300"/>
            </w:tcMar>
          </w:tcPr>
          <w:p>
            <w:pPr>
              <w:spacing w:after="60" w:before="0"/>
              <w:jc w:val="center"/>
            </w:pPr>
            <w:r>
              <w:rPr>
                <w:rFonts w:ascii="Arial" w:cs="Arial" w:eastAsia="Arial" w:hAnsi="Arial"/>
                <w:i/>
                <w:iCs/>
                <w:color w:val="1F3864"/>
                <w:sz w:val="20"/>
                <w:szCs w:val="20"/>
              </w:rPr>
              <w:t xml:space="preserve">I Accept the Challenge to be the best that I can be.</w:t>
            </w:r>
          </w:p>
          <w:p>
            <w:pPr>
              <w:spacing w:after="60" w:before="0"/>
              <w:jc w:val="center"/>
            </w:pPr>
            <w:r>
              <w:rPr>
                <w:rFonts w:ascii="Arial" w:cs="Arial" w:eastAsia="Arial" w:hAnsi="Arial"/>
                <w:i/>
                <w:iCs/>
                <w:color w:val="1F3864"/>
                <w:sz w:val="20"/>
                <w:szCs w:val="20"/>
              </w:rPr>
              <w:t xml:space="preserve">I have Great Expectations for myself and others.</w:t>
            </w:r>
          </w:p>
          <w:p>
            <w:pPr>
              <w:spacing w:after="60" w:before="0"/>
              <w:jc w:val="center"/>
            </w:pPr>
            <w:r>
              <w:rPr>
                <w:rFonts w:ascii="Arial" w:cs="Arial" w:eastAsia="Arial" w:hAnsi="Arial"/>
                <w:i/>
                <w:iCs/>
                <w:color w:val="1F3864"/>
                <w:sz w:val="20"/>
                <w:szCs w:val="20"/>
              </w:rPr>
              <w:t xml:space="preserve">I am respectful, safe, and prepared. I am here to learn.</w:t>
            </w:r>
          </w:p>
          <w:p>
            <w:pPr>
              <w:jc w:val="center"/>
            </w:pPr>
            <w:r>
              <w:rPr>
                <w:rFonts w:ascii="Arial" w:cs="Arial" w:eastAsia="Arial" w:hAnsi="Arial"/>
                <w:b/>
                <w:bCs/>
                <w:color w:val="1F3864"/>
                <w:sz w:val="20"/>
                <w:szCs w:val="20"/>
              </w:rPr>
              <w:t xml:space="preserve">As a Timothy L. Johnson Academy Scholar, I Accept the Challenge!</w:t>
            </w:r>
          </w:p>
        </w:tc>
      </w:tr>
    </w:tbl>
    <w:p>
      <w:pPr>
        <w:spacing w:after="80" w:before="80"/>
      </w:pPr>
    </w:p>
    <w:p>
      <w:pPr>
        <w:pStyle w:val="Heading3"/>
        <w:spacing w:after="60" w:before="120"/>
      </w:pPr>
      <w:r>
        <w:rPr>
          <w:rFonts w:ascii="Arial" w:cs="Arial" w:eastAsia="Arial" w:hAnsi="Arial"/>
          <w:b/>
          <w:bCs/>
          <w:color w:val="2E75B6"/>
          <w:sz w:val="22"/>
          <w:szCs w:val="22"/>
        </w:rPr>
        <w:t xml:space="preserve">Scholar Expectations — All Grades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Attend school and be on time every day.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Bring appropriate materials to class each day.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Be tobacco, vape, and chemical free at all times.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Never bring a weapon or look-alike weapon to school.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Keep your hands and feet to yourself.</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Use appropriate language at all times.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Respond promptly and courteously to the directions of any staff member.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Be clean, neat, and dressed appropriately for the school day.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Consume food and beverages in the cafeteria only.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Respect the property of others and the school.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Recycle and do not litter.</w:t>
      </w:r>
    </w:p>
    <w:p>
      <w:pPr>
        <w:spacing w:after="80" w:before="80"/>
      </w:pPr>
    </w:p>
    <w:p>
      <w:pPr>
        <w:pStyle w:val="Heading3"/>
        <w:spacing w:after="60" w:before="120"/>
      </w:pPr>
      <w:r>
        <w:rPr>
          <w:rFonts w:ascii="Arial" w:cs="Arial" w:eastAsia="Arial" w:hAnsi="Arial"/>
          <w:b/>
          <w:bCs/>
          <w:color w:val="2E75B6"/>
          <w:sz w:val="22"/>
          <w:szCs w:val="22"/>
        </w:rPr>
        <w:t xml:space="preserve">Grades 6–8: Additional Expectations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Keep your locker clean inside and out.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Follow the bus ridership guidelines in this handbook.</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Walk in the halls and keep traffic flowing. Do not loiter or block others.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Show appropriate affection only — kissing, embracing, and “friendly hits” are not appropriate.</w:t>
      </w:r>
    </w:p>
    <w:p>
      <w:pPr>
        <w:spacing w:after="80" w:before="80"/>
      </w:pPr>
    </w:p>
    <w:p>
      <w:pPr>
        <w:pStyle w:val="Heading3"/>
        <w:spacing w:after="60" w:before="120"/>
      </w:pPr>
      <w:r>
        <w:rPr>
          <w:rFonts w:ascii="Arial" w:cs="Arial" w:eastAsia="Arial" w:hAnsi="Arial"/>
          <w:b/>
          <w:bCs/>
          <w:color w:val="2E75B6"/>
          <w:sz w:val="22"/>
          <w:szCs w:val="22"/>
        </w:rPr>
        <w:t xml:space="preserve">Positive Behavior Intervention Framework (PBIS / CR-PBIS)</w:t>
      </w:r>
    </w:p>
    <w:p>
      <w:pPr>
        <w:spacing w:after="80" w:before="80"/>
      </w:pPr>
      <w:r>
        <w:rPr>
          <w:rFonts w:ascii="Arial" w:cs="Arial" w:eastAsia="Arial" w:hAnsi="Arial"/>
          <w:color w:val="333333"/>
          <w:sz w:val="20"/>
          <w:szCs w:val="20"/>
        </w:rPr>
        <w:t xml:space="preserve">TLJA uses a tiered behavior support model to ensure every scholar has access to the support they need:</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Tier I (All Scholars): School-wide expectations, CR-PBIS, Good Start Talks, orientation, behavior teaching in advisory, recognition assemblies, Jaguar Pride Showcase, honor roll.</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Tier II (Some Scholars): Reflection Room, support groups, restorative circles, small group SEL, student assistance team interventions, FLEX/Academic Support.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Tier III (Individualized): 504 Plans, special education interventions, hall escorts, Investment in Youth, individualized programming.</w:t>
      </w:r>
    </w:p>
    <w:p>
      <w:pPr>
        <w:spacing w:after="80" w:before="80"/>
      </w:pPr>
    </w:p>
    <w:p>
      <w:pPr>
        <w:pStyle w:val="Heading3"/>
        <w:spacing w:after="60" w:before="120"/>
      </w:pPr>
      <w:r>
        <w:rPr>
          <w:rFonts w:ascii="Arial" w:cs="Arial" w:eastAsia="Arial" w:hAnsi="Arial"/>
          <w:b/>
          <w:bCs/>
          <w:color w:val="2E75B6"/>
          <w:sz w:val="22"/>
          <w:szCs w:val="22"/>
        </w:rPr>
        <w:t xml:space="preserve">Discipline Steps — K–5</w:t>
      </w:r>
    </w:p>
    <w:p>
      <w:pPr>
        <w:spacing w:after="40" w:before="40"/>
        <w:ind w:left="360" w:hanging="20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First Offense: Verbal Warning</w:t>
      </w:r>
    </w:p>
    <w:p>
      <w:pPr>
        <w:spacing w:after="40" w:before="40"/>
        <w:ind w:left="360" w:hanging="20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Second Offense: Phone Call Home</w:t>
      </w:r>
    </w:p>
    <w:p>
      <w:pPr>
        <w:spacing w:after="40" w:before="40"/>
        <w:ind w:left="360" w:hanging="20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Third Offense: Parent Conference with School Leader</w:t>
      </w:r>
    </w:p>
    <w:p>
      <w:pPr>
        <w:spacing w:after="40" w:before="40"/>
        <w:ind w:left="360" w:hanging="20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Fourth Offense: Suspension / Expulsion</w:t>
      </w:r>
    </w:p>
    <w:p>
      <w:pPr>
        <w:spacing w:after="80" w:before="80"/>
      </w:pPr>
      <w:r>
        <w:rPr>
          <w:rFonts w:ascii="Arial" w:cs="Arial" w:eastAsia="Arial" w:hAnsi="Arial"/>
          <w:color w:val="333333"/>
          <w:sz w:val="20"/>
          <w:szCs w:val="20"/>
        </w:rPr>
        <w:t xml:space="preserve">Due Process: All students will be disciplined in a fair and reasonable manner and given an opportunity to share their perspective.</w:t>
      </w:r>
    </w:p>
    <w:p>
      <w:pPr>
        <w:spacing w:after="80" w:before="80"/>
      </w:pPr>
    </w:p>
    <w:p>
      <w:pPr>
        <w:pStyle w:val="Heading3"/>
        <w:spacing w:after="60" w:before="120"/>
      </w:pPr>
      <w:r>
        <w:rPr>
          <w:rFonts w:ascii="Arial" w:cs="Arial" w:eastAsia="Arial" w:hAnsi="Arial"/>
          <w:b/>
          <w:bCs/>
          <w:color w:val="2E75B6"/>
          <w:sz w:val="22"/>
          <w:szCs w:val="22"/>
        </w:rPr>
        <w:t xml:space="preserve">Description of Student Behavior Violations (All Grades)</w:t>
      </w:r>
    </w:p>
    <w:p>
      <w:pPr>
        <w:spacing w:after="80" w:before="80"/>
      </w:pPr>
      <w:r>
        <w:rPr>
          <w:rFonts w:ascii="Arial" w:cs="Arial" w:eastAsia="Arial" w:hAnsi="Arial"/>
          <w:color w:val="333333"/>
          <w:sz w:val="20"/>
          <w:szCs w:val="20"/>
        </w:rPr>
        <w:t xml:space="preserve">The following behaviors are subject to disciplinary action up to and including suspension or expulsion: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Academic Misconduct: cheating, plagiarism, or collusion on assignments or tests.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Bomb Threat: spoken or written; may result in expulsion recommendation.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Bullying: any written, verbal, physical, or electronic pattern of conduct that distresses another student (IC 5-2-10.1-12; IC 20-20-8-8; IN P.L. 285-2013). Recording, encouraging, or distributing bullying content results in the same consequences as the aggressor.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Chemical Violation: possession, use, sale, or distribution of illegal drugs, alcohol, or unauthorized prescription medications.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Fighting: any physical confrontation regardless of who initiated it.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Forgery: falsifying signatures, notes, hall passes, or dates.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Harassment &amp; Violence (sexual, religious, racial): conduct or communication that intimidates, threatens, or harms on the basis of a protected characteristic.</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Hazing: coercing a student into acts that create risk of harm for the purpose of affiliation.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Insubordination: failure to obey a reasonable request from any staff member.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Theft: taking, using, or retaining another’s property without permission.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Tobacco &amp; Vaping: possession or use of any tobacco or vaping products on school property (see Indiana Vape Free Schools at in.gov).</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Vandalism: damaging school or personal property. Indiana code 34-31-4-1 holds parents responsible for damages caused by minors up to $5,000.</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Weapons: possession, storage, or use of any weapon or look-alike weapon. Zero tolerance policy. (See full weapons policy below.)</w:t>
      </w:r>
    </w:p>
    <w:p>
      <w:pPr>
        <w:spacing w:after="80" w:before="80"/>
      </w:pPr>
    </w:p>
    <w:p>
      <w:pPr>
        <w:pStyle w:val="Heading3"/>
        <w:spacing w:after="60" w:before="120"/>
      </w:pPr>
      <w:r>
        <w:rPr>
          <w:rFonts w:ascii="Arial" w:cs="Arial" w:eastAsia="Arial" w:hAnsi="Arial"/>
          <w:b/>
          <w:bCs/>
          <w:color w:val="2E75B6"/>
          <w:sz w:val="22"/>
          <w:szCs w:val="22"/>
        </w:rPr>
        <w:t xml:space="preserve">Weapons Policy</w:t>
      </w:r>
    </w:p>
    <w:p>
      <w:pPr>
        <w:spacing w:after="80" w:before="80"/>
      </w:pPr>
      <w:r>
        <w:rPr>
          <w:rFonts w:ascii="Arial" w:cs="Arial" w:eastAsia="Arial" w:hAnsi="Arial"/>
          <w:color w:val="333333"/>
          <w:sz w:val="20"/>
          <w:szCs w:val="20"/>
        </w:rPr>
        <w:t xml:space="preserve">TLJA maintains a zero-tolerance policy for real and look-alike weapons on school property, at school events, on buses, and at bus stops. This includes: all firearms (loaded or not), pellet/BB/paintball guns, knives of any type, explosives, flammable liquids, and any other item that could cause harm.</w:t>
      </w:r>
    </w:p>
    <w:p>
      <w:pPr>
        <w:shd w:fill="D6E4F0" w:val="clear"/>
        <w:spacing w:after="60" w:before="60"/>
        <w:ind w:left="200" w:right="200"/>
      </w:pPr>
      <w:r>
        <w:rPr>
          <w:rFonts w:ascii="Arial" w:cs="Arial" w:eastAsia="Arial" w:hAnsi="Arial"/>
          <w:i/>
          <w:iCs/>
          <w:color w:val="1F3864"/>
          <w:sz w:val="18"/>
          <w:szCs w:val="18"/>
        </w:rPr>
        <w:t xml:space="preserve">A student who finds a weapon and immediately turns it in to any staff member or the principal’s office will NOT be considered in possession of a weapon.</w:t>
      </w:r>
    </w:p>
    <w:p>
      <w:pPr>
        <w:spacing w:after="80" w:before="80"/>
      </w:pPr>
    </w:p>
    <w:p>
      <w:pPr>
        <w:pStyle w:val="Heading3"/>
        <w:spacing w:after="60" w:before="120"/>
      </w:pPr>
      <w:r>
        <w:rPr>
          <w:rFonts w:ascii="Arial" w:cs="Arial" w:eastAsia="Arial" w:hAnsi="Arial"/>
          <w:b/>
          <w:bCs/>
          <w:color w:val="2E75B6"/>
          <w:sz w:val="22"/>
          <w:szCs w:val="22"/>
        </w:rPr>
        <w:t xml:space="preserve">Description of Consequences</w:t>
      </w:r>
    </w:p>
    <w:p>
      <w:pPr>
        <w:spacing w:after="80" w:before="80"/>
      </w:pPr>
      <w:r>
        <w:rPr>
          <w:rFonts w:ascii="Arial" w:cs="Arial" w:eastAsia="Arial" w:hAnsi="Arial"/>
          <w:color w:val="333333"/>
          <w:sz w:val="20"/>
          <w:szCs w:val="20"/>
        </w:rPr>
        <w:t xml:space="preserve">Consequences are designed to be appropriate, fair, and aimed at ending the problematic behavior. The standard progression is: detention → in-school suspension → out-of-school suspension. Severity and frequency of offenses may alter this progression.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Administrative Dismissal: removal from school for one day or less.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Alternatives to Suspension: Reflection Activities, Community Service, or Restitution.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Office Detention: before or after school, assigned by administration.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Teacher Detention: before or after school for makeup work, infractions, or tardiness.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In-School Suspension (ISS): student remains on campus in supervised setting.</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Out-of-School Suspension (OSS): student may not be on school property or at school events. A parent conference is required before readmission.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Expulsion: Board action prohibiting attendance for up to one calendar year.</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Student Support Services</w:t>
            </w:r>
          </w:p>
        </w:tc>
      </w:tr>
    </w:tbl>
    <w:p>
      <w:pPr>
        <w:spacing w:after="80" w:before="80"/>
      </w:pPr>
    </w:p>
    <w:p>
      <w:pPr>
        <w:pStyle w:val="Heading3"/>
        <w:spacing w:after="60" w:before="120"/>
      </w:pPr>
      <w:r>
        <w:rPr>
          <w:rFonts w:ascii="Arial" w:cs="Arial" w:eastAsia="Arial" w:hAnsi="Arial"/>
          <w:b/>
          <w:bCs/>
          <w:color w:val="2E75B6"/>
          <w:sz w:val="22"/>
          <w:szCs w:val="22"/>
        </w:rPr>
        <w:t xml:space="preserve">Counseling Services</w:t>
      </w:r>
    </w:p>
    <w:p>
      <w:pPr>
        <w:spacing w:after="80" w:before="80"/>
      </w:pPr>
      <w:r>
        <w:rPr>
          <w:rFonts w:ascii="Arial" w:cs="Arial" w:eastAsia="Arial" w:hAnsi="Arial"/>
          <w:color w:val="333333"/>
          <w:sz w:val="20"/>
          <w:szCs w:val="20"/>
        </w:rPr>
        <w:t xml:space="preserve">TLJA provides counseling services through school counselors, social workers, and community partnerships. The counseling program supports students’ academic and personal success, including educational planning, social-emotional development, and conflict resolution. Referrals may be made by students, families, or staff at any time.</w:t>
      </w:r>
    </w:p>
    <w:p>
      <w:pPr>
        <w:spacing w:after="80" w:before="80"/>
      </w:pPr>
    </w:p>
    <w:p>
      <w:pPr>
        <w:pStyle w:val="Heading3"/>
        <w:spacing w:after="60" w:before="120"/>
      </w:pPr>
      <w:r>
        <w:rPr>
          <w:rFonts w:ascii="Arial" w:cs="Arial" w:eastAsia="Arial" w:hAnsi="Arial"/>
          <w:b/>
          <w:bCs/>
          <w:color w:val="2E75B6"/>
          <w:sz w:val="22"/>
          <w:szCs w:val="22"/>
        </w:rPr>
        <w:t xml:space="preserve">Special Education</w:t>
      </w:r>
    </w:p>
    <w:p>
      <w:pPr>
        <w:spacing w:after="80" w:before="80"/>
      </w:pPr>
      <w:r>
        <w:rPr>
          <w:rFonts w:ascii="Arial" w:cs="Arial" w:eastAsia="Arial" w:hAnsi="Arial"/>
          <w:color w:val="333333"/>
          <w:sz w:val="20"/>
          <w:szCs w:val="20"/>
        </w:rPr>
        <w:t xml:space="preserve">Special Education programs and related services are provided to all eligible students with disabilities at every grade level, based on individual needs as outlined in each student’s Individualized Education Program (IEP). Parents who suspect their child may have a disability should contact a teacher, counselor, or the Special Education Building Coordinator (SEBC).</w:t>
      </w:r>
    </w:p>
    <w:p>
      <w:pPr>
        <w:spacing w:after="80" w:before="80"/>
      </w:pPr>
    </w:p>
    <w:p>
      <w:pPr>
        <w:pStyle w:val="Heading3"/>
        <w:spacing w:after="60" w:before="120"/>
      </w:pPr>
      <w:r>
        <w:rPr>
          <w:rFonts w:ascii="Arial" w:cs="Arial" w:eastAsia="Arial" w:hAnsi="Arial"/>
          <w:b/>
          <w:bCs/>
          <w:color w:val="2E75B6"/>
          <w:sz w:val="22"/>
          <w:szCs w:val="22"/>
        </w:rPr>
        <w:t xml:space="preserve">Section 504 Services</w:t>
      </w:r>
    </w:p>
    <w:p>
      <w:pPr>
        <w:spacing w:after="80" w:before="80"/>
      </w:pPr>
      <w:r>
        <w:rPr>
          <w:rFonts w:ascii="Arial" w:cs="Arial" w:eastAsia="Arial" w:hAnsi="Arial"/>
          <w:color w:val="333333"/>
          <w:sz w:val="20"/>
          <w:szCs w:val="20"/>
        </w:rPr>
        <w:t xml:space="preserve">Section 504 of the Federal Rehabilitation Act ensures access to a free and appropriate public education for students with qualifying disabilities by providing reasonable accommodations. Questions about Section 504 should be directed to the building administrator.</w:t>
      </w:r>
    </w:p>
    <w:p>
      <w:pPr>
        <w:spacing w:after="80" w:before="80"/>
      </w:pPr>
    </w:p>
    <w:p>
      <w:pPr>
        <w:pStyle w:val="Heading3"/>
        <w:spacing w:after="60" w:before="120"/>
      </w:pPr>
      <w:r>
        <w:rPr>
          <w:rFonts w:ascii="Arial" w:cs="Arial" w:eastAsia="Arial" w:hAnsi="Arial"/>
          <w:b/>
          <w:bCs/>
          <w:color w:val="2E75B6"/>
          <w:sz w:val="22"/>
          <w:szCs w:val="22"/>
        </w:rPr>
        <w:t xml:space="preserve">English Learner (ELL) Services</w:t>
      </w:r>
    </w:p>
    <w:p>
      <w:pPr>
        <w:spacing w:after="80" w:before="80"/>
      </w:pPr>
      <w:r>
        <w:rPr>
          <w:rFonts w:ascii="Arial" w:cs="Arial" w:eastAsia="Arial" w:hAnsi="Arial"/>
          <w:color w:val="333333"/>
          <w:sz w:val="20"/>
          <w:szCs w:val="20"/>
        </w:rPr>
        <w:t xml:space="preserve">TLJA provides English Language Services to all identified Multilingual Learners (MLLs) in accordance with federal and state requirements. For questions about ELL services, contact Mikael Badgett at mikael.badgett@tljacademy.org.</w:t>
      </w:r>
    </w:p>
    <w:p>
      <w:pPr>
        <w:spacing w:after="80" w:before="80"/>
      </w:pPr>
    </w:p>
    <w:p>
      <w:pPr>
        <w:pStyle w:val="Heading3"/>
        <w:spacing w:after="60" w:before="120"/>
      </w:pPr>
      <w:r>
        <w:rPr>
          <w:rFonts w:ascii="Arial" w:cs="Arial" w:eastAsia="Arial" w:hAnsi="Arial"/>
          <w:b/>
          <w:bCs/>
          <w:color w:val="2E75B6"/>
          <w:sz w:val="22"/>
          <w:szCs w:val="22"/>
        </w:rPr>
        <w:t xml:space="preserve">Mental Health &amp; Suicide Prevention</w:t>
      </w:r>
    </w:p>
    <w:p>
      <w:pPr>
        <w:spacing w:after="80" w:before="80"/>
      </w:pPr>
      <w:r>
        <w:rPr>
          <w:rFonts w:ascii="Arial" w:cs="Arial" w:eastAsia="Arial" w:hAnsi="Arial"/>
          <w:color w:val="333333"/>
          <w:sz w:val="20"/>
          <w:szCs w:val="20"/>
        </w:rPr>
        <w:t xml:space="preserve">Protecting the health and well-being of all scholars is a priority for the TLJA staff and Board. The following steps are in place to support scholars in crisis: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 designated suicide prevention coordinator (school counselor) serves as the primary point of contact when students are in crisis.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When a scholar is identified at risk — by students, faculty, parents/guardians, or self-disclosure — the school counselor will complete a Columbia Suicide Severity Rating Scale (C-SSRS) risk assessment.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High-risk results: The counselor will contact parent/guardian immediately, request their presence at school, and provide local Fort Wayne area resources for assessment and follow-up.</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All faculty and scholars are expected to foster a culture of respect and support where scholars feel comfortable seeking help for themselves or their peers.</w:t>
      </w:r>
    </w:p>
    <w:p>
      <w:pPr>
        <w:spacing w:after="80" w:before="80"/>
      </w:pPr>
      <w:r>
        <w:rPr>
          <w:rFonts w:ascii="Arial" w:cs="Arial" w:eastAsia="Arial" w:hAnsi="Arial"/>
          <w:b/>
          <w:bCs/>
          <w:color w:val="1F3864"/>
          <w:sz w:val="20"/>
          <w:szCs w:val="20"/>
        </w:rPr>
        <w:t xml:space="preserve">Crisis Resources: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National Suicide Prevention Lifeline: 1-800-273-TALK (8255) — suicidepreventionlifeline.org</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The Trevor Project (24/7 text/chat): thetrevorproject.org/get-help-now</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Crisis Text Line: Text TALK to 741-741 — crisistextline.org</w:t>
      </w:r>
    </w:p>
    <w:p>
      <w:pPr>
        <w:spacing w:after="80" w:before="80"/>
      </w:pPr>
    </w:p>
    <w:p>
      <w:pPr>
        <w:pStyle w:val="Heading3"/>
        <w:spacing w:after="60" w:before="120"/>
      </w:pPr>
      <w:r>
        <w:rPr>
          <w:rFonts w:ascii="Arial" w:cs="Arial" w:eastAsia="Arial" w:hAnsi="Arial"/>
          <w:b/>
          <w:bCs/>
          <w:color w:val="2E75B6"/>
          <w:sz w:val="22"/>
          <w:szCs w:val="22"/>
        </w:rPr>
        <w:t xml:space="preserve">Mediation Program (Grades 6–8)</w:t>
      </w:r>
    </w:p>
    <w:p>
      <w:pPr>
        <w:spacing w:after="80" w:before="80"/>
      </w:pPr>
      <w:r>
        <w:rPr>
          <w:rFonts w:ascii="Arial" w:cs="Arial" w:eastAsia="Arial" w:hAnsi="Arial"/>
          <w:color w:val="333333"/>
          <w:sz w:val="20"/>
          <w:szCs w:val="20"/>
        </w:rPr>
        <w:t xml:space="preserve">The TLJA mediation program helps students resolve conflicts that negatively impact their school lives. Mediation teaches peaceful conflict resolution, personal responsibility, and multicultural understanding. To request mediation, a student simply asks a teacher, counselor, or administrator.</w:t>
      </w:r>
    </w:p>
    <w:p>
      <w:pPr>
        <w:spacing w:after="80" w:before="80"/>
      </w:pPr>
    </w:p>
    <w:p>
      <w:pPr>
        <w:pStyle w:val="Heading3"/>
        <w:spacing w:after="60" w:before="120"/>
      </w:pPr>
      <w:r>
        <w:rPr>
          <w:rFonts w:ascii="Arial" w:cs="Arial" w:eastAsia="Arial" w:hAnsi="Arial"/>
          <w:b/>
          <w:bCs/>
          <w:color w:val="2E75B6"/>
          <w:sz w:val="22"/>
          <w:szCs w:val="22"/>
        </w:rPr>
        <w:t xml:space="preserve">Family &amp; Community Outreach</w:t>
      </w:r>
    </w:p>
    <w:p>
      <w:pPr>
        <w:spacing w:after="80" w:before="80"/>
      </w:pPr>
      <w:r>
        <w:rPr>
          <w:rFonts w:ascii="Arial" w:cs="Arial" w:eastAsia="Arial" w:hAnsi="Arial"/>
          <w:color w:val="333333"/>
          <w:sz w:val="20"/>
          <w:szCs w:val="20"/>
        </w:rPr>
        <w:t xml:space="preserve">TLJA provides student support, family outreach, and collaboration with community resources to help all families access our schools and services. Parents are encouraged to participate in Parents in Action (PIA) meetings, school-wide events, and after-school academic mentoring. Contact the school guidance counselor for information about available resources.</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Health, Safety &amp; Risk Management</w:t>
            </w:r>
          </w:p>
        </w:tc>
      </w:tr>
    </w:tbl>
    <w:p>
      <w:pPr>
        <w:spacing w:after="80" w:before="80"/>
      </w:pPr>
    </w:p>
    <w:p>
      <w:pPr>
        <w:pStyle w:val="Heading3"/>
        <w:spacing w:after="60" w:before="120"/>
      </w:pPr>
      <w:r>
        <w:rPr>
          <w:rFonts w:ascii="Arial" w:cs="Arial" w:eastAsia="Arial" w:hAnsi="Arial"/>
          <w:b/>
          <w:bCs/>
          <w:color w:val="2E75B6"/>
          <w:sz w:val="22"/>
          <w:szCs w:val="22"/>
        </w:rPr>
        <w:t xml:space="preserve">Health Services</w:t>
      </w:r>
    </w:p>
    <w:p>
      <w:pPr>
        <w:spacing w:after="80" w:before="80"/>
      </w:pPr>
      <w:r>
        <w:rPr>
          <w:rFonts w:ascii="Arial" w:cs="Arial" w:eastAsia="Arial" w:hAnsi="Arial"/>
          <w:color w:val="333333"/>
          <w:sz w:val="20"/>
          <w:szCs w:val="20"/>
        </w:rPr>
        <w:t xml:space="preserve">No student may leave school because of illness without permission from school administration. In a medical emergency, the school will make every effort to contact the parent/guardian. Students under 18 will not be released unless authorized by a legal parent/guardian or an adult designated on the emergency card.</w:t>
      </w:r>
    </w:p>
    <w:p>
      <w:pPr>
        <w:shd w:fill="D6E4F0" w:val="clear"/>
        <w:spacing w:after="60" w:before="60"/>
        <w:ind w:left="200" w:right="200"/>
      </w:pPr>
      <w:r>
        <w:rPr>
          <w:rFonts w:ascii="Arial" w:cs="Arial" w:eastAsia="Arial" w:hAnsi="Arial"/>
          <w:i/>
          <w:iCs/>
          <w:color w:val="1F3864"/>
          <w:sz w:val="18"/>
          <w:szCs w:val="18"/>
        </w:rPr>
        <w:t xml:space="preserve">Please update your student’s emergency contact information annually and whenever changes occur.</w:t>
      </w:r>
    </w:p>
    <w:p>
      <w:pPr>
        <w:spacing w:after="80" w:before="80"/>
      </w:pPr>
    </w:p>
    <w:p>
      <w:pPr>
        <w:pStyle w:val="Heading3"/>
        <w:spacing w:after="60" w:before="120"/>
      </w:pPr>
      <w:r>
        <w:rPr>
          <w:rFonts w:ascii="Arial" w:cs="Arial" w:eastAsia="Arial" w:hAnsi="Arial"/>
          <w:b/>
          <w:bCs/>
          <w:color w:val="2E75B6"/>
          <w:sz w:val="22"/>
          <w:szCs w:val="22"/>
        </w:rPr>
        <w:t xml:space="preserve">Medications</w:t>
      </w:r>
    </w:p>
    <w:p>
      <w:pPr>
        <w:spacing w:after="80" w:before="80"/>
      </w:pPr>
      <w:r>
        <w:rPr>
          <w:rFonts w:ascii="Arial" w:cs="Arial" w:eastAsia="Arial" w:hAnsi="Arial"/>
          <w:color w:val="333333"/>
          <w:sz w:val="20"/>
          <w:szCs w:val="20"/>
        </w:rPr>
        <w:t xml:space="preserve">If a student requires medication during the school day, parents/guardians must complete a Medication Permission Form. All medications must be brought to the main office by a parent/guardian in the original container with written instructions. Medications are dispensed from the office only. Parents are responsible for picking up unused medication or providing written authorization for its release.</w:t>
      </w:r>
    </w:p>
    <w:p>
      <w:pPr>
        <w:spacing w:after="80" w:before="80"/>
      </w:pPr>
    </w:p>
    <w:p>
      <w:pPr>
        <w:pStyle w:val="Heading3"/>
        <w:spacing w:after="60" w:before="120"/>
      </w:pPr>
      <w:r>
        <w:rPr>
          <w:rFonts w:ascii="Arial" w:cs="Arial" w:eastAsia="Arial" w:hAnsi="Arial"/>
          <w:b/>
          <w:bCs/>
          <w:color w:val="2E75B6"/>
          <w:sz w:val="22"/>
          <w:szCs w:val="22"/>
        </w:rPr>
        <w:t xml:space="preserve">Immunizations</w:t>
      </w:r>
    </w:p>
    <w:p>
      <w:pPr>
        <w:spacing w:after="80" w:before="80"/>
      </w:pPr>
      <w:r>
        <w:rPr>
          <w:rFonts w:ascii="Arial" w:cs="Arial" w:eastAsia="Arial" w:hAnsi="Arial"/>
          <w:color w:val="333333"/>
          <w:sz w:val="20"/>
          <w:szCs w:val="20"/>
        </w:rPr>
        <w:t xml:space="preserve">All students must comply with Indiana state immunization requirements or be in the process of completing the required series. Required vaccines for K–12 include: DTaP, MMR, Hepatitis A (K–3), Hepatitis B, Polio, and Varicella. Additional requirements for grades 6–12: Tdap booster, Meningococcal vaccine (Menactra), and a second Meningococcal booster for grade 12 if the first was given before age 16. Contact the Allen County Health Department at (260) 449-7514 or call 424-SHOT for low-cost immunization sites.</w:t>
      </w:r>
    </w:p>
    <w:p>
      <w:pPr>
        <w:spacing w:after="80" w:before="80"/>
      </w:pPr>
    </w:p>
    <w:p>
      <w:pPr>
        <w:pStyle w:val="Heading3"/>
        <w:spacing w:after="60" w:before="120"/>
      </w:pPr>
      <w:r>
        <w:rPr>
          <w:rFonts w:ascii="Arial" w:cs="Arial" w:eastAsia="Arial" w:hAnsi="Arial"/>
          <w:b/>
          <w:bCs/>
          <w:color w:val="2E75B6"/>
          <w:sz w:val="22"/>
          <w:szCs w:val="22"/>
        </w:rPr>
        <w:t xml:space="preserve">Building Safety &amp; Security</w:t>
      </w:r>
    </w:p>
    <w:p>
      <w:pPr>
        <w:spacing w:after="80" w:before="80"/>
      </w:pPr>
      <w:r>
        <w:rPr>
          <w:rFonts w:ascii="Arial" w:cs="Arial" w:eastAsia="Arial" w:hAnsi="Arial"/>
          <w:color w:val="333333"/>
          <w:sz w:val="20"/>
          <w:szCs w:val="20"/>
        </w:rPr>
        <w:t xml:space="preserve">All exterior doors remain locked during the school day except the main entrance. All visitors must sign in at the main office and obtain a visitor’s badge. Students will only be released to parents or individuals listed on the student’s emergency card. Proof of identification is required.</w:t>
      </w:r>
    </w:p>
    <w:p>
      <w:pPr>
        <w:spacing w:after="80" w:before="80"/>
      </w:pPr>
    </w:p>
    <w:p>
      <w:pPr>
        <w:pStyle w:val="Heading3"/>
        <w:spacing w:after="60" w:before="120"/>
      </w:pPr>
      <w:r>
        <w:rPr>
          <w:rFonts w:ascii="Arial" w:cs="Arial" w:eastAsia="Arial" w:hAnsi="Arial"/>
          <w:b/>
          <w:bCs/>
          <w:color w:val="2E75B6"/>
          <w:sz w:val="22"/>
          <w:szCs w:val="22"/>
        </w:rPr>
        <w:t xml:space="preserve">Safety Drills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Fire Drills: once per month while school is in session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Tornado Drills: at least once per semester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Lockdown Drills: twice per year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Evacuation Drills: five per year (middle school)</w:t>
      </w:r>
    </w:p>
    <w:p>
      <w:pPr>
        <w:spacing w:after="80" w:before="80"/>
      </w:pPr>
      <w:r>
        <w:rPr>
          <w:rFonts w:ascii="Arial" w:cs="Arial" w:eastAsia="Arial" w:hAnsi="Arial"/>
          <w:color w:val="333333"/>
          <w:sz w:val="20"/>
          <w:szCs w:val="20"/>
        </w:rPr>
        <w:t xml:space="preserve">All staff and scholars must follow drill protocols. Emergency response procedures include: Evacuation, Shelter in Place, Lockdown, and Severe Weather Shelter.</w:t>
      </w:r>
    </w:p>
    <w:p>
      <w:pPr>
        <w:spacing w:after="80" w:before="80"/>
      </w:pPr>
    </w:p>
    <w:p>
      <w:pPr>
        <w:pStyle w:val="Heading3"/>
        <w:spacing w:after="60" w:before="120"/>
      </w:pPr>
      <w:r>
        <w:rPr>
          <w:rFonts w:ascii="Arial" w:cs="Arial" w:eastAsia="Arial" w:hAnsi="Arial"/>
          <w:b/>
          <w:bCs/>
          <w:color w:val="2E75B6"/>
          <w:sz w:val="22"/>
          <w:szCs w:val="22"/>
        </w:rPr>
        <w:t xml:space="preserve">Severe Weather &amp; School Cancellations</w:t>
      </w:r>
    </w:p>
    <w:p>
      <w:pPr>
        <w:spacing w:after="80" w:before="80"/>
      </w:pPr>
      <w:r>
        <w:rPr>
          <w:rFonts w:ascii="Arial" w:cs="Arial" w:eastAsia="Arial" w:hAnsi="Arial"/>
          <w:color w:val="333333"/>
          <w:sz w:val="20"/>
          <w:szCs w:val="20"/>
        </w:rPr>
        <w:t xml:space="preserve">School closings will be announced on Indiana News Center and WANE TV15 as “Timothy L. Johnson Academy.” Information will also be posted at tlja.org and sent via automated phone/email. Do not call the school during emergencies — call (260) 543-4077 for general assistance.</w:t>
      </w:r>
    </w:p>
    <w:p>
      <w:pPr>
        <w:spacing w:after="80" w:before="80"/>
      </w:pPr>
    </w:p>
    <w:p>
      <w:pPr>
        <w:pStyle w:val="Heading3"/>
        <w:spacing w:after="60" w:before="120"/>
      </w:pPr>
      <w:r>
        <w:rPr>
          <w:rFonts w:ascii="Arial" w:cs="Arial" w:eastAsia="Arial" w:hAnsi="Arial"/>
          <w:b/>
          <w:bCs/>
          <w:color w:val="2E75B6"/>
          <w:sz w:val="22"/>
          <w:szCs w:val="22"/>
        </w:rPr>
        <w:t xml:space="preserve">Food, Beverages &amp; Indoor Air Quality</w:t>
      </w:r>
    </w:p>
    <w:p>
      <w:pPr>
        <w:spacing w:after="80" w:before="80"/>
      </w:pPr>
      <w:r>
        <w:rPr>
          <w:rFonts w:ascii="Arial" w:cs="Arial" w:eastAsia="Arial" w:hAnsi="Arial"/>
          <w:color w:val="333333"/>
          <w:sz w:val="20"/>
          <w:szCs w:val="20"/>
        </w:rPr>
        <w:t xml:space="preserve">Beverages, food, and candy are permitted in the cafeteria only. Outside vendor food is not allowed during the lunch period. Animals are not permitted in the school building without prior approval from the principal, and only after confirming no students in the area will be negatively impacted.</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Transportation</w:t>
            </w:r>
          </w:p>
        </w:tc>
      </w:tr>
    </w:tbl>
    <w:p>
      <w:pPr>
        <w:spacing w:after="80" w:before="80"/>
      </w:pPr>
    </w:p>
    <w:p>
      <w:pPr>
        <w:spacing w:after="80" w:before="80"/>
      </w:pPr>
      <w:r>
        <w:rPr>
          <w:rFonts w:ascii="Arial" w:cs="Arial" w:eastAsia="Arial" w:hAnsi="Arial"/>
          <w:color w:val="333333"/>
          <w:sz w:val="20"/>
          <w:szCs w:val="20"/>
        </w:rPr>
        <w:t xml:space="preserve">TLJA provides transportation as a courtesy and privilege. Drivers have complete charge of students on the bus and report misbehavior to the Transportation Director and School Leader.</w:t>
      </w:r>
    </w:p>
    <w:p>
      <w:pPr>
        <w:spacing w:after="80" w:before="80"/>
      </w:pPr>
    </w:p>
    <w:p>
      <w:pPr>
        <w:pStyle w:val="Heading3"/>
        <w:spacing w:after="60" w:before="120"/>
      </w:pPr>
      <w:r>
        <w:rPr>
          <w:rFonts w:ascii="Arial" w:cs="Arial" w:eastAsia="Arial" w:hAnsi="Arial"/>
          <w:b/>
          <w:bCs/>
          <w:color w:val="2E75B6"/>
          <w:sz w:val="22"/>
          <w:szCs w:val="22"/>
        </w:rPr>
        <w:t xml:space="preserve">Student Bus Ridership Rules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Use only your assigned bus stop.</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Board and exit only at your designated stop unless you have a school-approved written note.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Remain seated while the bus is in motion.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Keep the center aisle clear at all times.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Do not eat or drink on the bus.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No non-school-related items may be transported on the bus.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No electronic devices may be used in a manner that interferes with the driver or bus communications equipment.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Acts of physical violence or verbal assault toward the driver or passengers may result in suspension or termination of bus privileges.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Musical instruments are permitted only if the scholar can hold them on their lap.</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Skis, skateboards, breakable glass objects, unprotected skates, fishing poles, and animals/pets are not permitted on the bus.</w:t>
      </w:r>
    </w:p>
    <w:p>
      <w:pPr>
        <w:spacing w:after="80" w:before="80"/>
      </w:pPr>
    </w:p>
    <w:p>
      <w:pPr>
        <w:shd w:fill="D6E4F0" w:val="clear"/>
        <w:spacing w:after="60" w:before="60"/>
        <w:ind w:left="200" w:right="200"/>
      </w:pPr>
      <w:r>
        <w:rPr>
          <w:rFonts w:ascii="Arial" w:cs="Arial" w:eastAsia="Arial" w:hAnsi="Arial"/>
          <w:i/>
          <w:iCs/>
          <w:color w:val="1F3864"/>
          <w:sz w:val="18"/>
          <w:szCs w:val="18"/>
        </w:rPr>
        <w:t xml:space="preserve">Parents must submit written notice of any changes in drop-off or pick-up procedures. All requests are subject to Transportation Director approval.</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Extracurricular &amp; Co-Curricular Activities</w:t>
            </w:r>
          </w:p>
        </w:tc>
      </w:tr>
    </w:tbl>
    <w:p>
      <w:pPr>
        <w:spacing w:after="80" w:before="80"/>
      </w:pPr>
    </w:p>
    <w:p>
      <w:pPr>
        <w:spacing w:after="80" w:before="80"/>
      </w:pPr>
      <w:r>
        <w:rPr>
          <w:rFonts w:ascii="Arial" w:cs="Arial" w:eastAsia="Arial" w:hAnsi="Arial"/>
          <w:color w:val="333333"/>
          <w:sz w:val="20"/>
          <w:szCs w:val="20"/>
        </w:rPr>
        <w:t xml:space="preserve">Participation in extracurricular activities is a privilege. Students represent their school and community and must conduct themselves accordingly. All participants are governed by TLJA’s Code of Conduct, the Extracurricular/Co-Curricular Code, local and state laws, and applicable state association regulations.</w:t>
      </w:r>
    </w:p>
    <w:p>
      <w:pPr>
        <w:spacing w:after="80" w:before="80"/>
      </w:pPr>
    </w:p>
    <w:p>
      <w:pPr>
        <w:pStyle w:val="Heading3"/>
        <w:spacing w:after="60" w:before="120"/>
      </w:pPr>
      <w:r>
        <w:rPr>
          <w:rFonts w:ascii="Arial" w:cs="Arial" w:eastAsia="Arial" w:hAnsi="Arial"/>
          <w:b/>
          <w:bCs/>
          <w:color w:val="2E75B6"/>
          <w:sz w:val="22"/>
          <w:szCs w:val="22"/>
        </w:rPr>
        <w:t xml:space="preserve">Standard of Conduct</w:t>
      </w:r>
    </w:p>
    <w:p>
      <w:pPr>
        <w:spacing w:after="80" w:before="80"/>
      </w:pPr>
      <w:r>
        <w:rPr>
          <w:rFonts w:ascii="Arial" w:cs="Arial" w:eastAsia="Arial" w:hAnsi="Arial"/>
          <w:color w:val="333333"/>
          <w:sz w:val="20"/>
          <w:szCs w:val="20"/>
        </w:rPr>
        <w:t xml:space="preserve">All extracurricular rules apply both on and off school property and are in effect year-round, even when school is not in session. Any student arrested on a charge other than a traffic violation will be suspended from participation pending investigation.</w:t>
      </w:r>
    </w:p>
    <w:p>
      <w:pPr>
        <w:spacing w:after="80" w:before="80"/>
      </w:pPr>
    </w:p>
    <w:p>
      <w:pPr>
        <w:pStyle w:val="Heading3"/>
        <w:spacing w:after="60" w:before="120"/>
      </w:pPr>
      <w:r>
        <w:rPr>
          <w:rFonts w:ascii="Arial" w:cs="Arial" w:eastAsia="Arial" w:hAnsi="Arial"/>
          <w:b/>
          <w:bCs/>
          <w:color w:val="2E75B6"/>
          <w:sz w:val="22"/>
          <w:szCs w:val="22"/>
        </w:rPr>
        <w:t xml:space="preserve">Chemical/Conduct Violation Consequences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First Offense: Suspension from 25% of the season/activity if the student participates in an approved assessment and follow-up therapy (50% if not).</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Second Offense: Suspension from participation and forfeiture of eligibility for honors/awards for one calendar year.</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Further Violations: Suspension from all extracurricular activities for the remainder of the student’s TLJA career.</w:t>
      </w:r>
    </w:p>
    <w:p>
      <w:pPr>
        <w:spacing w:after="80" w:before="80"/>
      </w:pPr>
      <w:r>
        <w:rPr>
          <w:rFonts w:ascii="Arial" w:cs="Arial" w:eastAsia="Arial" w:hAnsi="Arial"/>
          <w:color w:val="333333"/>
          <w:sz w:val="20"/>
          <w:szCs w:val="20"/>
        </w:rPr>
        <w:t xml:space="preserve">If a student seeks help proactively before being caught in a violation, the school will assist in finding support and will not penalize the self-disclosure.</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District Policies</w:t>
            </w:r>
          </w:p>
        </w:tc>
      </w:tr>
    </w:tbl>
    <w:p>
      <w:pPr>
        <w:spacing w:after="80" w:before="80"/>
      </w:pPr>
    </w:p>
    <w:p>
      <w:pPr>
        <w:pStyle w:val="Heading3"/>
        <w:spacing w:after="60" w:before="120"/>
      </w:pPr>
      <w:r>
        <w:rPr>
          <w:rFonts w:ascii="Arial" w:cs="Arial" w:eastAsia="Arial" w:hAnsi="Arial"/>
          <w:b/>
          <w:bCs/>
          <w:color w:val="2E75B6"/>
          <w:sz w:val="22"/>
          <w:szCs w:val="22"/>
        </w:rPr>
        <w:t xml:space="preserve">Equal Education Opportunity</w:t>
      </w:r>
    </w:p>
    <w:p>
      <w:pPr>
        <w:spacing w:after="80" w:before="80"/>
      </w:pPr>
      <w:r>
        <w:rPr>
          <w:rFonts w:ascii="Arial" w:cs="Arial" w:eastAsia="Arial" w:hAnsi="Arial"/>
          <w:color w:val="333333"/>
          <w:sz w:val="20"/>
          <w:szCs w:val="20"/>
        </w:rPr>
        <w:t xml:space="preserve">TLJA provides equal education opportunities for all scholars without regard to race, color, creed, disability, religion, gender, age, national origin, sexual orientation, gender identity, or socioeconomic background. Any person who believes a scholar has been discriminated against may file a written complaint with the Compliance Officer: Superintendent Dawn Starks, (260) 441-8727. Complaints will be investigated and a written response provided within five school days. TLJA will never retaliate against anyone who files a complaint in good faith.</w:t>
      </w:r>
    </w:p>
    <w:p>
      <w:pPr>
        <w:spacing w:after="80" w:before="80"/>
      </w:pPr>
    </w:p>
    <w:p>
      <w:pPr>
        <w:pStyle w:val="Heading3"/>
        <w:spacing w:after="60" w:before="120"/>
      </w:pPr>
      <w:r>
        <w:rPr>
          <w:rFonts w:ascii="Arial" w:cs="Arial" w:eastAsia="Arial" w:hAnsi="Arial"/>
          <w:b/>
          <w:bCs/>
          <w:color w:val="2E75B6"/>
          <w:sz w:val="22"/>
          <w:szCs w:val="22"/>
        </w:rPr>
        <w:t xml:space="preserve">Bullying Prohibition</w:t>
      </w:r>
    </w:p>
    <w:p>
      <w:pPr>
        <w:spacing w:after="80" w:before="80"/>
      </w:pPr>
      <w:r>
        <w:rPr>
          <w:rFonts w:ascii="Arial" w:cs="Arial" w:eastAsia="Arial" w:hAnsi="Arial"/>
          <w:color w:val="333333"/>
          <w:sz w:val="20"/>
          <w:szCs w:val="20"/>
        </w:rPr>
        <w:t xml:space="preserve">In compliance with IN P.L. 285-2013, TLJA prohibits any act of bullying, intimidation, or cyber-bullying by any student, employee, or agent of the district. This policy applies to conduct that interferes with or obstructs the school’s mission or the safety and welfare of scholars.</w:t>
      </w:r>
    </w:p>
    <w:p>
      <w:pPr>
        <w:spacing w:after="80" w:before="80"/>
      </w:pPr>
    </w:p>
    <w:p>
      <w:pPr>
        <w:pStyle w:val="Heading3"/>
        <w:spacing w:after="60" w:before="120"/>
      </w:pPr>
      <w:r>
        <w:rPr>
          <w:rFonts w:ascii="Arial" w:cs="Arial" w:eastAsia="Arial" w:hAnsi="Arial"/>
          <w:b/>
          <w:bCs/>
          <w:color w:val="2E75B6"/>
          <w:sz w:val="22"/>
          <w:szCs w:val="22"/>
        </w:rPr>
        <w:t xml:space="preserve">Child Abuse Reporting</w:t>
      </w:r>
    </w:p>
    <w:p>
      <w:pPr>
        <w:spacing w:after="80" w:before="80"/>
      </w:pPr>
      <w:r>
        <w:rPr>
          <w:rFonts w:ascii="Arial" w:cs="Arial" w:eastAsia="Arial" w:hAnsi="Arial"/>
          <w:color w:val="333333"/>
          <w:sz w:val="20"/>
          <w:szCs w:val="20"/>
        </w:rPr>
        <w:t xml:space="preserve">Under Indiana law, every person is a mandated reporter of suspected child abuse or neglect. School professionals must immediately report to the Department of Child Services (DCS) or local law enforcement. After making the report, staff must notify the individual in charge of the school (Dawn Starks) or designee (Dr. Brad Yoder).</w:t>
      </w:r>
    </w:p>
    <w:p>
      <w:pPr>
        <w:spacing w:after="80" w:before="80"/>
      </w:pPr>
    </w:p>
    <w:p>
      <w:pPr>
        <w:pStyle w:val="Heading3"/>
        <w:spacing w:after="60" w:before="120"/>
      </w:pPr>
      <w:r>
        <w:rPr>
          <w:rFonts w:ascii="Arial" w:cs="Arial" w:eastAsia="Arial" w:hAnsi="Arial"/>
          <w:b/>
          <w:bCs/>
          <w:color w:val="2E75B6"/>
          <w:sz w:val="22"/>
          <w:szCs w:val="22"/>
        </w:rPr>
        <w:t xml:space="preserve">Student Records &amp; FERPA</w:t>
      </w:r>
    </w:p>
    <w:p>
      <w:pPr>
        <w:spacing w:after="80" w:before="80"/>
      </w:pPr>
      <w:r>
        <w:rPr>
          <w:rFonts w:ascii="Arial" w:cs="Arial" w:eastAsia="Arial" w:hAnsi="Arial"/>
          <w:color w:val="333333"/>
          <w:sz w:val="20"/>
          <w:szCs w:val="20"/>
        </w:rPr>
        <w:t xml:space="preserve">Student records are maintained securely and governed by the Family Educational Rights and Privacy Act (FERPA). Parents/guardians and eligible students have the right to: inspect and review education records; seek amendment of inaccurate records; consent to disclosures; and file complaints with the U.S. Department of Education. Requests for directory information should be directed in writing to the Coordinator of Information Systems, 4625 Werling Drive, Fort Wayne, IN 46806.</w:t>
      </w:r>
    </w:p>
    <w:p>
      <w:pPr>
        <w:spacing w:after="80" w:before="80"/>
      </w:pPr>
    </w:p>
    <w:p>
      <w:pPr>
        <w:pStyle w:val="Heading3"/>
        <w:spacing w:after="60" w:before="120"/>
      </w:pPr>
      <w:r>
        <w:rPr>
          <w:rFonts w:ascii="Arial" w:cs="Arial" w:eastAsia="Arial" w:hAnsi="Arial"/>
          <w:b/>
          <w:bCs/>
          <w:color w:val="2E75B6"/>
          <w:sz w:val="22"/>
          <w:szCs w:val="22"/>
        </w:rPr>
        <w:t xml:space="preserve">Sexual, Religious &amp; Racial Harassment Policy</w:t>
      </w:r>
    </w:p>
    <w:p>
      <w:pPr>
        <w:spacing w:after="80" w:before="80"/>
      </w:pPr>
      <w:r>
        <w:rPr>
          <w:rFonts w:ascii="Arial" w:cs="Arial" w:eastAsia="Arial" w:hAnsi="Arial"/>
          <w:color w:val="333333"/>
          <w:sz w:val="20"/>
          <w:szCs w:val="20"/>
        </w:rPr>
        <w:t xml:space="preserve">TLJA prohibits all forms of harassment or violence based on race, color, creed, religion, national origin, sex, sexual orientation, disability, or other protected characteristics. Incidents must be reported to the building School Leader immediately. The School Leader must notify the Human Resources executive director within 72 hours. Retaliation against anyone who reports harassment is strictly prohibited.</w:t>
      </w:r>
    </w:p>
    <w:p>
      <w:pPr>
        <w:spacing w:after="80" w:before="80"/>
      </w:pPr>
    </w:p>
    <w:p>
      <w:pPr>
        <w:pStyle w:val="Heading3"/>
        <w:spacing w:after="60" w:before="120"/>
      </w:pPr>
      <w:r>
        <w:rPr>
          <w:rFonts w:ascii="Arial" w:cs="Arial" w:eastAsia="Arial" w:hAnsi="Arial"/>
          <w:b/>
          <w:bCs/>
          <w:color w:val="2E75B6"/>
          <w:sz w:val="22"/>
          <w:szCs w:val="22"/>
        </w:rPr>
        <w:t xml:space="preserve">Internet Acceptable Use &amp; Safety</w:t>
      </w:r>
    </w:p>
    <w:p>
      <w:pPr>
        <w:spacing w:after="80" w:before="80"/>
      </w:pPr>
      <w:r>
        <w:rPr>
          <w:rFonts w:ascii="Arial" w:cs="Arial" w:eastAsia="Arial" w:hAnsi="Arial"/>
          <w:color w:val="333333"/>
          <w:sz w:val="20"/>
          <w:szCs w:val="20"/>
        </w:rPr>
        <w:t xml:space="preserve">Use of TLJA’s network and internet resources is a privilege, not a right, and is limited to educational and informational purposes. Parents who do not want their child to access network/internet resources at school must notify the principal in writing. Violations will be addressed through building discipline procedures and may be referred to legal authorities.</w:t>
      </w:r>
    </w:p>
    <w:p>
      <w:pPr>
        <w:spacing w:after="80" w:before="80"/>
      </w:pPr>
    </w:p>
    <w:p>
      <w:pPr>
        <w:pStyle w:val="Heading3"/>
        <w:spacing w:after="60" w:before="120"/>
      </w:pPr>
      <w:r>
        <w:rPr>
          <w:rFonts w:ascii="Arial" w:cs="Arial" w:eastAsia="Arial" w:hAnsi="Arial"/>
          <w:b/>
          <w:bCs/>
          <w:color w:val="2E75B6"/>
          <w:sz w:val="22"/>
          <w:szCs w:val="22"/>
        </w:rPr>
        <w:t xml:space="preserve">Lockers (Grades 6–8)</w:t>
      </w:r>
    </w:p>
    <w:p>
      <w:pPr>
        <w:spacing w:after="80" w:before="80"/>
      </w:pPr>
      <w:r>
        <w:rPr>
          <w:rFonts w:ascii="Arial" w:cs="Arial" w:eastAsia="Arial" w:hAnsi="Arial"/>
          <w:color w:val="333333"/>
          <w:sz w:val="20"/>
          <w:szCs w:val="20"/>
        </w:rPr>
        <w:t xml:space="preserve">Each student is assigned a locker and a lock. Students are responsible for keeping their locker clean and secure — lock combinations must not be shared. School lockers remain the property of the school district. Lockers may be inspected by school authorities at any time without notice or consent.</w:t>
      </w:r>
    </w:p>
    <w:p>
      <w:pPr>
        <w:spacing w:after="80" w:before="80"/>
      </w:pPr>
    </w:p>
    <w:p>
      <w:pPr>
        <w:pStyle w:val="Heading3"/>
        <w:spacing w:after="60" w:before="120"/>
      </w:pPr>
      <w:r>
        <w:rPr>
          <w:rFonts w:ascii="Arial" w:cs="Arial" w:eastAsia="Arial" w:hAnsi="Arial"/>
          <w:b/>
          <w:bCs/>
          <w:color w:val="2E75B6"/>
          <w:sz w:val="22"/>
          <w:szCs w:val="22"/>
        </w:rPr>
        <w:t xml:space="preserve">Sales on School Property</w:t>
      </w:r>
    </w:p>
    <w:p>
      <w:pPr>
        <w:spacing w:after="80" w:before="80"/>
      </w:pPr>
      <w:r>
        <w:rPr>
          <w:rFonts w:ascii="Arial" w:cs="Arial" w:eastAsia="Arial" w:hAnsi="Arial"/>
          <w:color w:val="333333"/>
          <w:sz w:val="20"/>
          <w:szCs w:val="20"/>
        </w:rPr>
        <w:t xml:space="preserve">No student or outside organization may use the school to sell items for profit. The only exception is sales by TLJA’s own organizations for school-sanctioned fundraising.</w:t>
      </w:r>
    </w:p>
    <w:p>
      <w:pPr>
        <w:spacing w:after="80" w:before="80"/>
      </w:pPr>
    </w:p>
    <w:p>
      <w:pPr>
        <w:pStyle w:val="Heading3"/>
        <w:spacing w:after="60" w:before="120"/>
      </w:pPr>
      <w:r>
        <w:rPr>
          <w:rFonts w:ascii="Arial" w:cs="Arial" w:eastAsia="Arial" w:hAnsi="Arial"/>
          <w:b/>
          <w:bCs/>
          <w:color w:val="2E75B6"/>
          <w:sz w:val="22"/>
          <w:szCs w:val="22"/>
        </w:rPr>
        <w:t xml:space="preserve">USDA Child Nutrition Program</w:t>
      </w:r>
    </w:p>
    <w:p>
      <w:pPr>
        <w:spacing w:after="80" w:before="80"/>
      </w:pPr>
      <w:r>
        <w:rPr>
          <w:rFonts w:ascii="Arial" w:cs="Arial" w:eastAsia="Arial" w:hAnsi="Arial"/>
          <w:color w:val="333333"/>
          <w:sz w:val="20"/>
          <w:szCs w:val="20"/>
        </w:rPr>
        <w:t xml:space="preserve">The U.S. Department of Agriculture prohibits discrimination against customers and employees on the basis of race, color, national origin, age, disability, sex, gender identity, religion, and other protected characteristics in programs conducted or funded by the Department. To file a complaint, complete the USDA Program Discrimination Complaint Form at ascr.usda.gov or call (866) 632-9992. USDA is an equal opportunity provider and employer.</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General Information</w:t>
            </w:r>
          </w:p>
        </w:tc>
      </w:tr>
    </w:tbl>
    <w:p>
      <w:pPr>
        <w:spacing w:after="80" w:before="80"/>
      </w:pPr>
    </w:p>
    <w:p>
      <w:pPr>
        <w:pStyle w:val="Heading3"/>
        <w:spacing w:after="60" w:before="120"/>
      </w:pPr>
      <w:r>
        <w:rPr>
          <w:rFonts w:ascii="Arial" w:cs="Arial" w:eastAsia="Arial" w:hAnsi="Arial"/>
          <w:b/>
          <w:bCs/>
          <w:color w:val="2E75B6"/>
          <w:sz w:val="22"/>
          <w:szCs w:val="22"/>
        </w:rPr>
        <w:t xml:space="preserve">Lost &amp; Found</w:t>
      </w:r>
    </w:p>
    <w:p>
      <w:pPr>
        <w:spacing w:after="80" w:before="80"/>
      </w:pPr>
      <w:r>
        <w:rPr>
          <w:rFonts w:ascii="Arial" w:cs="Arial" w:eastAsia="Arial" w:hAnsi="Arial"/>
          <w:color w:val="333333"/>
          <w:sz w:val="20"/>
          <w:szCs w:val="20"/>
        </w:rPr>
        <w:t xml:space="preserve">Lost and found is located in the main office. Students should report both lost and found items immediately. Parents should label all personal belongings for identification purposes.</w:t>
      </w:r>
    </w:p>
    <w:p>
      <w:pPr>
        <w:spacing w:after="80" w:before="80"/>
      </w:pPr>
    </w:p>
    <w:p>
      <w:pPr>
        <w:pStyle w:val="Heading3"/>
        <w:spacing w:after="60" w:before="120"/>
      </w:pPr>
      <w:r>
        <w:rPr>
          <w:rFonts w:ascii="Arial" w:cs="Arial" w:eastAsia="Arial" w:hAnsi="Arial"/>
          <w:b/>
          <w:bCs/>
          <w:color w:val="2E75B6"/>
          <w:sz w:val="22"/>
          <w:szCs w:val="22"/>
        </w:rPr>
        <w:t xml:space="preserve">School Closings &amp; E-Learning Announcements</w:t>
      </w:r>
    </w:p>
    <w:p>
      <w:pPr>
        <w:spacing w:after="80" w:before="80"/>
      </w:pPr>
      <w:r>
        <w:rPr>
          <w:rFonts w:ascii="Arial" w:cs="Arial" w:eastAsia="Arial" w:hAnsi="Arial"/>
          <w:color w:val="333333"/>
          <w:sz w:val="20"/>
          <w:szCs w:val="20"/>
        </w:rPr>
        <w:t xml:space="preserve">School weather closings will be announced on Indiana News Center and WANE TV15 as “Timothy L. Johnson Academy.” Information will also be posted at tlja.org. Do not call the school during emergencies.</w:t>
      </w:r>
    </w:p>
    <w:p>
      <w:pPr>
        <w:spacing w:after="80" w:before="80"/>
      </w:pPr>
    </w:p>
    <w:p>
      <w:pPr>
        <w:pStyle w:val="Heading3"/>
        <w:spacing w:after="60" w:before="120"/>
      </w:pPr>
      <w:r>
        <w:rPr>
          <w:rFonts w:ascii="Arial" w:cs="Arial" w:eastAsia="Arial" w:hAnsi="Arial"/>
          <w:b/>
          <w:bCs/>
          <w:color w:val="2E75B6"/>
          <w:sz w:val="22"/>
          <w:szCs w:val="22"/>
        </w:rPr>
        <w:t xml:space="preserve">Textbooks &amp; School Property</w:t>
      </w:r>
    </w:p>
    <w:p>
      <w:pPr>
        <w:spacing w:after="80" w:before="80"/>
      </w:pPr>
      <w:r>
        <w:rPr>
          <w:rFonts w:ascii="Arial" w:cs="Arial" w:eastAsia="Arial" w:hAnsi="Arial"/>
          <w:color w:val="333333"/>
          <w:sz w:val="20"/>
          <w:szCs w:val="20"/>
        </w:rPr>
        <w:t xml:space="preserve">Textbooks and school-issued materials are the property of TLJA and are loaned to students for the year. Students must handle materials carefully and will be required to replace any lost or damaged items.</w:t>
      </w:r>
    </w:p>
    <w:p>
      <w:pPr>
        <w:spacing w:after="80" w:before="80"/>
      </w:pPr>
    </w:p>
    <w:p>
      <w:pPr>
        <w:pStyle w:val="Heading3"/>
        <w:spacing w:after="60" w:before="120"/>
      </w:pPr>
      <w:r>
        <w:rPr>
          <w:rFonts w:ascii="Arial" w:cs="Arial" w:eastAsia="Arial" w:hAnsi="Arial"/>
          <w:b/>
          <w:bCs/>
          <w:color w:val="2E75B6"/>
          <w:sz w:val="22"/>
          <w:szCs w:val="22"/>
        </w:rPr>
        <w:t xml:space="preserve">Telephone Use</w:t>
      </w:r>
    </w:p>
    <w:p>
      <w:pPr>
        <w:spacing w:after="80" w:before="80"/>
      </w:pPr>
      <w:r>
        <w:rPr>
          <w:rFonts w:ascii="Arial" w:cs="Arial" w:eastAsia="Arial" w:hAnsi="Arial"/>
          <w:color w:val="333333"/>
          <w:sz w:val="20"/>
          <w:szCs w:val="20"/>
        </w:rPr>
        <w:t xml:space="preserve">Office telephones are for school business only. Students will not be allowed to use the office telephone except in emergencies. Students will not be called from class to answer the telephone except in an emergency.</w:t>
      </w:r>
    </w:p>
    <w:p>
      <w:pPr>
        <w:spacing w:after="80" w:before="80"/>
      </w:pPr>
    </w:p>
    <w:p>
      <w:pPr>
        <w:pStyle w:val="Heading3"/>
        <w:spacing w:after="60" w:before="120"/>
      </w:pPr>
      <w:r>
        <w:rPr>
          <w:rFonts w:ascii="Arial" w:cs="Arial" w:eastAsia="Arial" w:hAnsi="Arial"/>
          <w:b/>
          <w:bCs/>
          <w:color w:val="2E75B6"/>
          <w:sz w:val="22"/>
          <w:szCs w:val="22"/>
        </w:rPr>
        <w:t xml:space="preserve">Skateboards &amp; Rollerblades</w:t>
      </w:r>
    </w:p>
    <w:p>
      <w:pPr>
        <w:spacing w:after="80" w:before="80"/>
      </w:pPr>
      <w:r>
        <w:rPr>
          <w:rFonts w:ascii="Arial" w:cs="Arial" w:eastAsia="Arial" w:hAnsi="Arial"/>
          <w:color w:val="333333"/>
          <w:sz w:val="20"/>
          <w:szCs w:val="20"/>
        </w:rPr>
        <w:t xml:space="preserve">Skateboards and rollerblades may not be used in the building or on school grounds.</w:t>
      </w:r>
    </w:p>
    <w:p>
      <w:pPr>
        <w:spacing w:after="80" w:before="80"/>
      </w:pPr>
    </w:p>
    <w:p>
      <w:pPr>
        <w:pStyle w:val="Heading3"/>
        <w:spacing w:after="60" w:before="120"/>
      </w:pPr>
      <w:r>
        <w:rPr>
          <w:rFonts w:ascii="Arial" w:cs="Arial" w:eastAsia="Arial" w:hAnsi="Arial"/>
          <w:b/>
          <w:bCs/>
          <w:color w:val="2E75B6"/>
          <w:sz w:val="22"/>
          <w:szCs w:val="22"/>
        </w:rPr>
        <w:t xml:space="preserve">Signs, Posters &amp; Literature</w:t>
      </w:r>
    </w:p>
    <w:p>
      <w:pPr>
        <w:spacing w:after="80" w:before="80"/>
      </w:pPr>
      <w:r>
        <w:rPr>
          <w:rFonts w:ascii="Arial" w:cs="Arial" w:eastAsia="Arial" w:hAnsi="Arial"/>
          <w:color w:val="333333"/>
          <w:sz w:val="20"/>
          <w:szCs w:val="20"/>
        </w:rPr>
        <w:t xml:space="preserve">Any sign, poster, or literature to be displayed or distributed in the school building requires prior administrative approval. School buildings may not be used to promote commercial or non-school agencies.</w:t>
      </w:r>
    </w:p>
    <w:p>
      <w:pPr>
        <w:spacing w:after="80" w:before="80"/>
      </w:pPr>
    </w:p>
    <w:p>
      <w:pPr>
        <w:pStyle w:val="Heading3"/>
        <w:spacing w:after="60" w:before="120"/>
      </w:pPr>
      <w:r>
        <w:rPr>
          <w:rFonts w:ascii="Arial" w:cs="Arial" w:eastAsia="Arial" w:hAnsi="Arial"/>
          <w:b/>
          <w:bCs/>
          <w:color w:val="2E75B6"/>
          <w:sz w:val="22"/>
          <w:szCs w:val="22"/>
        </w:rPr>
        <w:t xml:space="preserve">Special Occasions</w:t>
      </w:r>
    </w:p>
    <w:p>
      <w:pPr>
        <w:spacing w:after="80" w:before="80"/>
      </w:pPr>
      <w:r>
        <w:rPr>
          <w:rFonts w:ascii="Arial" w:cs="Arial" w:eastAsia="Arial" w:hAnsi="Arial"/>
          <w:color w:val="333333"/>
          <w:sz w:val="20"/>
          <w:szCs w:val="20"/>
        </w:rPr>
        <w:t xml:space="preserve">Balloons, signs, flowers, singing messages, outside food, and beverages will not be allowed in school.</w:t>
      </w:r>
    </w:p>
    <w:p>
      <w:pPr>
        <w:spacing w:after="80" w:before="80"/>
      </w:pPr>
    </w:p>
    <w:p>
      <w:pPr>
        <w:pStyle w:val="Heading3"/>
        <w:spacing w:after="60" w:before="120"/>
      </w:pPr>
      <w:r>
        <w:rPr>
          <w:rFonts w:ascii="Arial" w:cs="Arial" w:eastAsia="Arial" w:hAnsi="Arial"/>
          <w:b/>
          <w:bCs/>
          <w:color w:val="2E75B6"/>
          <w:sz w:val="22"/>
          <w:szCs w:val="22"/>
        </w:rPr>
        <w:t xml:space="preserve">Physical Education</w:t>
      </w:r>
    </w:p>
    <w:p>
      <w:pPr>
        <w:spacing w:after="80" w:before="80"/>
      </w:pPr>
      <w:r>
        <w:rPr>
          <w:rFonts w:ascii="Arial" w:cs="Arial" w:eastAsia="Arial" w:hAnsi="Arial"/>
          <w:color w:val="333333"/>
          <w:sz w:val="20"/>
          <w:szCs w:val="20"/>
        </w:rPr>
        <w:t xml:space="preserve">Excuses for 1–3 days: parent/guardian note given to the PE instructor at the beginning of class. Excuses for more than 3 days: written excuse from a doctor, signed by the school health specialist, plus an alternative project/assignment. PE teachers will communicate clothing requirements to students.</w:t>
      </w:r>
    </w:p>
    <w:p>
      <w:pPr>
        <w:spacing w:after="80" w:before="80"/>
      </w:pPr>
    </w:p>
    <w:p>
      <w:pPr>
        <w:pStyle w:val="Heading3"/>
        <w:spacing w:after="60" w:before="120"/>
      </w:pPr>
      <w:r>
        <w:rPr>
          <w:rFonts w:ascii="Arial" w:cs="Arial" w:eastAsia="Arial" w:hAnsi="Arial"/>
          <w:b/>
          <w:bCs/>
          <w:color w:val="2E75B6"/>
          <w:sz w:val="22"/>
          <w:szCs w:val="22"/>
        </w:rPr>
        <w:t xml:space="preserve">Volunteers</w:t>
      </w:r>
    </w:p>
    <w:p>
      <w:pPr>
        <w:spacing w:after="80" w:before="80"/>
      </w:pPr>
      <w:r>
        <w:rPr>
          <w:rFonts w:ascii="Arial" w:cs="Arial" w:eastAsia="Arial" w:hAnsi="Arial"/>
          <w:color w:val="333333"/>
          <w:sz w:val="20"/>
          <w:szCs w:val="20"/>
        </w:rPr>
        <w:t xml:space="preserve">Volunteers are an essential part of the TLJA community. Criminal history background checks may be required for volunteers who work directly with students. Volunteer opportunities include: tutoring, classroom assistance, field trip chaperoning, clerical support, art displays, and resource speaking. Contact the school to get involved.</w:t>
      </w:r>
    </w:p>
    <w:p>
      <w:pPr>
        <w:pBdr>
          <w:bottom w:val="single" w:color="2E75B6" w:sz="6" w:space="1"/>
        </w:pBdr>
        <w:spacing w:after="100" w:before="100"/>
      </w:pPr>
    </w:p>
    <w:p>
      <w:pPr>
        <w:pageBreakBefore/>
      </w:pPr>
      <w:r>
        <w:br/>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Acknowledgment of Receipt</w:t>
            </w:r>
          </w:p>
        </w:tc>
      </w:tr>
    </w:tbl>
    <w:p>
      <w:pPr>
        <w:spacing w:after="80" w:before="80"/>
      </w:pPr>
    </w:p>
    <w:p>
      <w:pPr>
        <w:spacing w:after="80" w:before="80"/>
      </w:pPr>
      <w:r>
        <w:rPr>
          <w:rFonts w:ascii="Arial" w:cs="Arial" w:eastAsia="Arial" w:hAnsi="Arial"/>
          <w:color w:val="333333"/>
          <w:sz w:val="20"/>
          <w:szCs w:val="20"/>
        </w:rPr>
        <w:t xml:space="preserve">Any and all material in this handbook is subject to amendment by the School Administration or the Board of Education at any time. The most current version will be maintained at tlja.org.</w:t>
      </w:r>
    </w:p>
    <w:p>
      <w:pPr>
        <w:spacing w:after="80" w:before="80"/>
      </w:pPr>
    </w:p>
    <w:p>
      <w:pPr>
        <w:spacing w:after="80" w:before="80"/>
      </w:pPr>
      <w:r>
        <w:rPr>
          <w:rFonts w:ascii="Arial" w:cs="Arial" w:eastAsia="Arial" w:hAnsi="Arial"/>
          <w:b/>
          <w:bCs/>
          <w:color w:val="1F3864"/>
          <w:sz w:val="20"/>
          <w:szCs w:val="20"/>
        </w:rPr>
        <w:t xml:space="preserve">Please sign and return this page to your child’s homeroom teacher.</w:t>
      </w:r>
    </w:p>
    <w:p>
      <w:pPr>
        <w:spacing w:after="80" w:before="80"/>
      </w:pPr>
    </w:p>
    <w:p>
      <w:pPr>
        <w:spacing w:after="80" w:before="80"/>
      </w:pPr>
      <w:r>
        <w:rPr>
          <w:rFonts w:ascii="Arial" w:cs="Arial" w:eastAsia="Arial" w:hAnsi="Arial"/>
          <w:color w:val="333333"/>
          <w:sz w:val="20"/>
          <w:szCs w:val="20"/>
        </w:rPr>
        <w:t xml:space="preserve">I acknowledge that I have received and read the Timothy L. Johnson Academy Parent-Scholar Handbook for the 2026–2027 school year. I understand that this handbook contains important information about the policies, procedures, and expectations for all scholars in grades K–8, and I agree to abide by its contents.</w:t>
      </w:r>
    </w:p>
    <w:p>
      <w:pPr>
        <w:spacing w:after="80" w:before="80"/>
      </w:pPr>
    </w:p>
    <w:p>
      <w:pPr>
        <w:spacing w:after="80" w:before="80"/>
      </w:pPr>
      <w:r>
        <w:rPr>
          <w:rFonts w:ascii="Arial" w:cs="Arial" w:eastAsia="Arial" w:hAnsi="Arial"/>
          <w:color w:val="333333"/>
          <w:sz w:val="20"/>
          <w:szCs w:val="20"/>
        </w:rPr>
        <w:t xml:space="preserve"> </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Scholar Name (Print)</w:t>
            </w:r>
          </w:p>
        </w:tc>
        <w:tc>
          <w:tcPr>
            <w:tcW w:type="dxa" w:w="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Grade</w:t>
            </w:r>
          </w:p>
        </w:tc>
      </w:tr>
      <w:tr>
        <w:tc>
          <w:tcPr>
            <w:tcW w:type="dxa" w:w="9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r>
      <w:tr>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Scholar Signature</w:t>
            </w:r>
          </w:p>
        </w:tc>
        <w:tc>
          <w:tcPr>
            <w:tcW w:type="dxa" w:w="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Date</w:t>
            </w:r>
          </w:p>
        </w:tc>
      </w:tr>
      <w:tr>
        <w:tc>
          <w:tcPr>
            <w:tcW w:type="dxa" w:w="9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r>
      <w:tr>
        <w:tc>
          <w:tcPr>
            <w:tcW w:type="dxa" w:w="936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Parent/Guardian Signature</w:t>
            </w:r>
          </w:p>
        </w:tc>
      </w:tr>
    </w:tbl>
    <w:p>
      <w:pPr>
        <w:spacing w:after="80" w:before="80"/>
      </w:pPr>
    </w:p>
    <w:p>
      <w:pPr>
        <w:spacing w:after="80" w:before="80"/>
      </w:pPr>
      <w:r>
        <w:rPr>
          <w:rFonts w:ascii="Arial" w:cs="Arial" w:eastAsia="Arial" w:hAnsi="Arial"/>
          <w:i/>
          <w:iCs/>
          <w:color w:val="595959"/>
          <w:sz w:val="16"/>
          <w:szCs w:val="16"/>
        </w:rPr>
        <w:t xml:space="preserve">Updated June 2026 — Prepared by: Mikael Badgett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200"/>
    </w:pPr>
    <w:rPr>
      <w:rFonts w:ascii="Arial" w:cs="Arial" w:eastAsia="Arial" w:hAnsi="Arial"/>
      <w:b/>
      <w:bCs/>
      <w:color w:val="FFFFFF"/>
      <w:sz w:val="28"/>
      <w:szCs w:val="28"/>
    </w:rPr>
  </w:style>
  <w:style w:type="paragraph" w:styleId="Heading2">
    <w:name w:val="Heading 2"/>
    <w:basedOn w:val="Normal"/>
    <w:next w:val="Normal"/>
    <w:qFormat/>
    <w:pPr>
      <w:spacing w:after="80" w:before="160"/>
    </w:pPr>
    <w:rPr>
      <w:rFonts w:ascii="Arial" w:cs="Arial" w:eastAsia="Arial" w:hAnsi="Arial"/>
      <w:b/>
      <w:bCs/>
      <w:color w:val="1F3864"/>
      <w:sz w:val="24"/>
      <w:szCs w:val="24"/>
    </w:rPr>
  </w:style>
  <w:style w:type="paragraph" w:styleId="Heading3">
    <w:name w:val="Heading 3"/>
    <w:basedOn w:val="Normal"/>
    <w:next w:val="Normal"/>
    <w:qFormat/>
    <w:pPr>
      <w:spacing w:after="60" w:before="120"/>
    </w:pPr>
    <w:rPr>
      <w:rFonts w:ascii="Arial" w:cs="Arial" w:eastAsia="Arial" w:hAnsi="Arial"/>
      <w:b/>
      <w:bCs/>
      <w:color w:val="2E75B6"/>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2026-06-22T18:48:44.969Z</dcterms:created>
  <dcterms:modified xsi:type="dcterms:W3CDTF">2026-06-22T18:48:44.984Z</dcterms:modified>
</cp:coreProperties>
</file>

<file path=docProps/custom.xml><?xml version="1.0" encoding="utf-8"?>
<Properties xmlns="http://schemas.openxmlformats.org/officeDocument/2006/custom-properties" xmlns:vt="http://schemas.openxmlformats.org/officeDocument/2006/docPropsVTypes"/>
</file>