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80868" w14:textId="77777777" w:rsidR="00E22ABA" w:rsidRPr="006D6D98" w:rsidRDefault="00000000">
      <w:pPr>
        <w:jc w:val="center"/>
        <w:rPr>
          <w:sz w:val="30"/>
          <w:szCs w:val="30"/>
        </w:rPr>
      </w:pPr>
      <w:r w:rsidRPr="006D6D98">
        <w:rPr>
          <w:b/>
          <w:sz w:val="30"/>
          <w:szCs w:val="30"/>
        </w:rPr>
        <w:t>Psychological Evaluation Preparation &amp; Referral Guide</w:t>
      </w:r>
    </w:p>
    <w:p w14:paraId="25A5CF61" w14:textId="77777777" w:rsidR="00E22ABA" w:rsidRDefault="00000000">
      <w:pPr>
        <w:pStyle w:val="Heading1"/>
      </w:pPr>
      <w:r>
        <w:t>Purpose of This Guide</w:t>
      </w:r>
    </w:p>
    <w:p w14:paraId="6511957A" w14:textId="77777777" w:rsidR="00E22ABA" w:rsidRDefault="00000000">
      <w:r>
        <w:t>This guide provides a comprehensive overview of how to prepare for a psychological evaluation with SATTC, including required referral elements, record collection processes, and strategies to improve efficiency and accuracy.</w:t>
      </w:r>
      <w:r>
        <w:br/>
      </w:r>
      <w:r>
        <w:br/>
        <w:t>A psychological evaluation is a multi-informant, data-driven assessment process that integrates clinical interviews, standardized testing, and records across systems to clarify diagnoses, rule out alternative explanations, and guide treatment, service, and system-level decision-making.</w:t>
      </w:r>
    </w:p>
    <w:p w14:paraId="58D5D58A" w14:textId="77777777" w:rsidR="00E22ABA" w:rsidRDefault="00000000">
      <w:pPr>
        <w:pStyle w:val="Heading1"/>
      </w:pPr>
      <w:r>
        <w:t>Minimum Requirements for Referral</w:t>
      </w:r>
    </w:p>
    <w:p w14:paraId="1E6DE23B" w14:textId="1378F345" w:rsidR="00E22ABA" w:rsidRDefault="00000000">
      <w:r>
        <w:t xml:space="preserve">1. Client Demographic Information (REQUIRED): Full name, </w:t>
      </w:r>
      <w:r w:rsidR="00305F79">
        <w:t xml:space="preserve">caregiver name, </w:t>
      </w:r>
      <w:r>
        <w:t xml:space="preserve">date of birth, current diagnosis, </w:t>
      </w:r>
      <w:r w:rsidR="006D6D98">
        <w:t xml:space="preserve">Insurance Name, Policy #, and Member/RIN Number, </w:t>
      </w:r>
      <w:r>
        <w:t xml:space="preserve">guardian status, </w:t>
      </w:r>
      <w:r w:rsidR="00305F79">
        <w:t>email address, phone number, and mailing address</w:t>
      </w:r>
      <w:r w:rsidR="006D6D98">
        <w:t>.</w:t>
      </w:r>
    </w:p>
    <w:p w14:paraId="5F5AFD94" w14:textId="75619363" w:rsidR="006D6D98" w:rsidRDefault="006D6D98">
      <w:r>
        <w:t>2. Release of Information between referral agency and SATTC (REQUIRED)</w:t>
      </w:r>
    </w:p>
    <w:p w14:paraId="788CC367" w14:textId="5B4139AE" w:rsidR="00E22ABA" w:rsidRDefault="006D6D98">
      <w:r>
        <w:t>3</w:t>
      </w:r>
      <w:r w:rsidR="00000000">
        <w:t>. Clear Referral Questions (REQUIRED)</w:t>
      </w:r>
    </w:p>
    <w:p w14:paraId="4B313BAE" w14:textId="439BA5E2" w:rsidR="00E22ABA" w:rsidRDefault="006D6D98">
      <w:r>
        <w:t>4</w:t>
      </w:r>
      <w:r w:rsidR="00000000">
        <w:t>.</w:t>
      </w:r>
      <w:r>
        <w:t xml:space="preserve"> Most recently completed</w:t>
      </w:r>
      <w:r w:rsidR="00000000">
        <w:t xml:space="preserve"> IM+CANS</w:t>
      </w:r>
      <w:r>
        <w:t xml:space="preserve">, IM+CATS, or intake assessment </w:t>
      </w:r>
      <w:r w:rsidR="00000000">
        <w:t>(WHEN AVAILABLE)</w:t>
      </w:r>
    </w:p>
    <w:p w14:paraId="70E4A7EF" w14:textId="7CB04F67" w:rsidR="0073000A" w:rsidRDefault="0073000A">
      <w:r>
        <w:t>The SATTC r</w:t>
      </w:r>
      <w:r w:rsidR="006D6D98">
        <w:t xml:space="preserve">eferral </w:t>
      </w:r>
      <w:r>
        <w:t>f</w:t>
      </w:r>
      <w:r w:rsidR="006D6D98">
        <w:t xml:space="preserve">orm </w:t>
      </w:r>
      <w:r>
        <w:t xml:space="preserve">is not required but is </w:t>
      </w:r>
      <w:r w:rsidR="006D6D98">
        <w:t xml:space="preserve">available on </w:t>
      </w:r>
      <w:r>
        <w:t xml:space="preserve">the </w:t>
      </w:r>
      <w:r w:rsidR="006D6D98">
        <w:t xml:space="preserve">homepage at </w:t>
      </w:r>
      <w:hyperlink r:id="rId8" w:history="1">
        <w:r w:rsidR="006D6D98" w:rsidRPr="002B7925">
          <w:rPr>
            <w:rStyle w:val="Hyperlink"/>
          </w:rPr>
          <w:t>http://stressandtrauma.org</w:t>
        </w:r>
      </w:hyperlink>
    </w:p>
    <w:p w14:paraId="011BC8BE" w14:textId="0E49E324" w:rsidR="0073000A" w:rsidRDefault="0073000A">
      <w:r>
        <w:t xml:space="preserve">Email to </w:t>
      </w:r>
      <w:hyperlink r:id="rId9" w:history="1">
        <w:r w:rsidRPr="002B7925">
          <w:rPr>
            <w:rStyle w:val="Hyperlink"/>
          </w:rPr>
          <w:t>help@stressandtrauma.org</w:t>
        </w:r>
      </w:hyperlink>
      <w:r>
        <w:t xml:space="preserve"> </w:t>
      </w:r>
      <w:r>
        <w:br/>
        <w:t>Fax to 618-216-9993</w:t>
      </w:r>
    </w:p>
    <w:p w14:paraId="427DEB8B" w14:textId="77777777" w:rsidR="00DA5193" w:rsidRDefault="00DA5193" w:rsidP="00DA5193">
      <w:pPr>
        <w:pStyle w:val="Heading1"/>
      </w:pPr>
      <w:r>
        <w:lastRenderedPageBreak/>
        <w:t>Evaluation Process Flow</w:t>
      </w:r>
    </w:p>
    <w:p w14:paraId="73C2156D" w14:textId="77777777" w:rsidR="00DA5193" w:rsidRPr="00DA5193" w:rsidRDefault="00DA5193" w:rsidP="00DA5193">
      <w:r>
        <w:rPr>
          <w:noProof/>
        </w:rPr>
        <w:drawing>
          <wp:inline distT="0" distB="0" distL="0" distR="0" wp14:anchorId="77BCDFF2" wp14:editId="23E82FBE">
            <wp:extent cx="5486400" cy="2743200"/>
            <wp:effectExtent l="0" t="0" r="0" b="0"/>
            <wp:docPr id="1416839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39048" name="Picture 1416839048"/>
                    <pic:cNvPicPr/>
                  </pic:nvPicPr>
                  <pic:blipFill>
                    <a:blip r:embed="rId10"/>
                    <a:stretch>
                      <a:fillRect/>
                    </a:stretch>
                  </pic:blipFill>
                  <pic:spPr>
                    <a:xfrm>
                      <a:off x="0" y="0"/>
                      <a:ext cx="5486400" cy="2743200"/>
                    </a:xfrm>
                    <a:prstGeom prst="rect">
                      <a:avLst/>
                    </a:prstGeom>
                  </pic:spPr>
                </pic:pic>
              </a:graphicData>
            </a:graphic>
          </wp:inline>
        </w:drawing>
      </w:r>
    </w:p>
    <w:p w14:paraId="316A5D11" w14:textId="295595DE" w:rsidR="00DA5193" w:rsidRDefault="00DA5193" w:rsidP="00DA5193">
      <w:pPr>
        <w:pStyle w:val="Heading1"/>
      </w:pPr>
      <w:r>
        <w:t xml:space="preserve">Example </w:t>
      </w:r>
      <w:r>
        <w:t xml:space="preserve">Evaluation Activities </w:t>
      </w:r>
      <w:r>
        <w:t>of a Standard Psychological Evaluation</w:t>
      </w:r>
    </w:p>
    <w:p w14:paraId="58811CF5" w14:textId="1A37B70C" w:rsidR="00DA5193" w:rsidRDefault="00DA5193" w:rsidP="00DA5193">
      <w:pPr>
        <w:pStyle w:val="ListBullet"/>
      </w:pPr>
      <w:r>
        <w:t>Clinical Interview</w:t>
      </w:r>
      <w:r>
        <w:t xml:space="preserve"> – Multiple informants</w:t>
      </w:r>
      <w:r>
        <w:tab/>
      </w:r>
    </w:p>
    <w:p w14:paraId="0AAABB5E" w14:textId="5556CE19" w:rsidR="00DA5193" w:rsidRDefault="0010390B" w:rsidP="00DA5193">
      <w:pPr>
        <w:pStyle w:val="ListBullet"/>
      </w:pPr>
      <w:r>
        <w:t xml:space="preserve">Norm referenced </w:t>
      </w:r>
      <w:r w:rsidR="00DA5193">
        <w:t xml:space="preserve">Adaptive </w:t>
      </w:r>
      <w:r w:rsidR="00DA5193">
        <w:t>and/</w:t>
      </w:r>
      <w:r w:rsidR="00DA5193">
        <w:t>or IQ Test for functioning</w:t>
      </w:r>
    </w:p>
    <w:p w14:paraId="60CB8D09" w14:textId="2EA96208" w:rsidR="00DA5193" w:rsidRDefault="00DA5193" w:rsidP="00DA5193">
      <w:pPr>
        <w:pStyle w:val="ListBullet"/>
      </w:pPr>
      <w:r>
        <w:t>Norm referenced rating scales</w:t>
      </w:r>
      <w:r>
        <w:t xml:space="preserve"> </w:t>
      </w:r>
      <w:r>
        <w:t>– Multiple informants</w:t>
      </w:r>
      <w:r>
        <w:tab/>
      </w:r>
    </w:p>
    <w:p w14:paraId="7BEE6F41" w14:textId="362C43A0" w:rsidR="00DA5193" w:rsidRDefault="00DA5193" w:rsidP="00DA5193">
      <w:pPr>
        <w:pStyle w:val="ListBullet"/>
      </w:pPr>
      <w:r>
        <w:t>Diagnostic rating scales – Multiple informants</w:t>
      </w:r>
    </w:p>
    <w:p w14:paraId="700F4575" w14:textId="34FF6C70" w:rsidR="0010390B" w:rsidRDefault="0010390B" w:rsidP="00DA5193">
      <w:pPr>
        <w:pStyle w:val="ListBullet"/>
      </w:pPr>
      <w:r>
        <w:t>Observations (structured or unstructured; multiple environments)</w:t>
      </w:r>
    </w:p>
    <w:p w14:paraId="76497A43" w14:textId="22C03FC5" w:rsidR="00DA5193" w:rsidRDefault="00DA5193" w:rsidP="00DA5193">
      <w:pPr>
        <w:pStyle w:val="ListBullet"/>
      </w:pPr>
      <w:r>
        <w:t xml:space="preserve">Review </w:t>
      </w:r>
      <w:r>
        <w:t xml:space="preserve">and summary </w:t>
      </w:r>
      <w:r>
        <w:t>of records</w:t>
      </w:r>
    </w:p>
    <w:p w14:paraId="04E50A09" w14:textId="77777777" w:rsidR="0010390B" w:rsidRDefault="0010390B" w:rsidP="0010390B">
      <w:pPr>
        <w:pStyle w:val="ListBullet"/>
      </w:pPr>
      <w:r>
        <w:t>Situational tasks or work products</w:t>
      </w:r>
    </w:p>
    <w:p w14:paraId="7BE460A9" w14:textId="37D0971C" w:rsidR="00DA5193" w:rsidRDefault="00DA5193" w:rsidP="00DA5193">
      <w:pPr>
        <w:pStyle w:val="ListBullet"/>
      </w:pPr>
      <w:r>
        <w:t xml:space="preserve">Diagnosis and </w:t>
      </w:r>
      <w:r w:rsidR="0010390B">
        <w:t>differential diagnosis (</w:t>
      </w:r>
      <w:r>
        <w:t>removal of diagnoses as appropriate</w:t>
      </w:r>
    </w:p>
    <w:p w14:paraId="035D2B35" w14:textId="047D52DA" w:rsidR="00DA5193" w:rsidRDefault="00DA5193" w:rsidP="00DA5193">
      <w:pPr>
        <w:pStyle w:val="ListBullet"/>
      </w:pPr>
      <w:r>
        <w:t>Treatment or Services Recommendation</w:t>
      </w:r>
      <w:r w:rsidR="0010390B">
        <w:t>s</w:t>
      </w:r>
    </w:p>
    <w:p w14:paraId="284F54D1" w14:textId="77777777" w:rsidR="00DA5193" w:rsidRDefault="00DA5193" w:rsidP="00DA5193">
      <w:pPr>
        <w:pStyle w:val="ListBullet"/>
      </w:pPr>
      <w:r>
        <w:t>Answers referral questions that can be answered</w:t>
      </w:r>
    </w:p>
    <w:p w14:paraId="0CC9CEF0" w14:textId="77777777" w:rsidR="00DA5193" w:rsidRDefault="00DA5193" w:rsidP="00DA5193">
      <w:pPr>
        <w:pStyle w:val="Heading1"/>
      </w:pPr>
      <w:r>
        <w:t>Norm-Referenced Testing</w:t>
      </w:r>
    </w:p>
    <w:p w14:paraId="35148B61" w14:textId="77777777" w:rsidR="00DA5193" w:rsidRDefault="00DA5193" w:rsidP="00DA5193">
      <w:r>
        <w:t xml:space="preserve">Norm-referenced testing compares an individual’s performance to a representative peer group. According to the American Psychological Association (APA), these tests allow </w:t>
      </w:r>
      <w:r>
        <w:lastRenderedPageBreak/>
        <w:t>interpretation of results relative to others of similar age or characteristics. Results include standard scores, percentiles, and standard deviations to determine deviation from the average.</w:t>
      </w:r>
    </w:p>
    <w:p w14:paraId="7033D8EF" w14:textId="71027FCD" w:rsidR="00DA5193" w:rsidRDefault="00DA5193" w:rsidP="00DA5193">
      <w:r>
        <w:t xml:space="preserve">Benefits include increased objectivity, improved diagnostic accuracy, </w:t>
      </w:r>
      <w:r w:rsidR="009C3BA3">
        <w:t xml:space="preserve">consideration for typical vs atypical development, </w:t>
      </w:r>
      <w:r>
        <w:t>and stronger confidence in decision-making.</w:t>
      </w:r>
    </w:p>
    <w:p w14:paraId="24216D49" w14:textId="00BC9EDC" w:rsidR="00DA5193" w:rsidRDefault="00DA5193" w:rsidP="0073000A">
      <w:pPr>
        <w:pStyle w:val="Heading1"/>
      </w:pPr>
      <w:r>
        <w:rPr>
          <w:noProof/>
        </w:rPr>
        <w:drawing>
          <wp:inline distT="0" distB="0" distL="0" distR="0" wp14:anchorId="5F2715F7" wp14:editId="0FCA8AB5">
            <wp:extent cx="4465104" cy="34245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1"/>
                    <a:stretch>
                      <a:fillRect/>
                    </a:stretch>
                  </pic:blipFill>
                  <pic:spPr>
                    <a:xfrm>
                      <a:off x="0" y="0"/>
                      <a:ext cx="4480226" cy="3436153"/>
                    </a:xfrm>
                    <a:prstGeom prst="rect">
                      <a:avLst/>
                    </a:prstGeom>
                  </pic:spPr>
                </pic:pic>
              </a:graphicData>
            </a:graphic>
          </wp:inline>
        </w:drawing>
      </w:r>
    </w:p>
    <w:p w14:paraId="5580234A" w14:textId="70450D70" w:rsidR="0073000A" w:rsidRDefault="0073000A" w:rsidP="0073000A">
      <w:pPr>
        <w:pStyle w:val="Heading1"/>
      </w:pPr>
      <w:r>
        <w:t>Multiple Informants &amp; Perspectives</w:t>
      </w:r>
    </w:p>
    <w:p w14:paraId="2FD6AB52" w14:textId="6837F4B4" w:rsidR="0073000A" w:rsidRDefault="0073000A" w:rsidP="0073000A">
      <w:r>
        <w:t>Multiple perspectives are required</w:t>
      </w:r>
      <w:r>
        <w:t xml:space="preserve"> in a psychological evaluation</w:t>
      </w:r>
      <w:r>
        <w:t xml:space="preserve"> to understand the </w:t>
      </w:r>
      <w:r>
        <w:t>complexities of any individual’s mental health needs and diagnoses</w:t>
      </w:r>
      <w:r>
        <w:t xml:space="preserve">. Using multiple informants increases </w:t>
      </w:r>
      <w:r>
        <w:t xml:space="preserve">the validity of the results, improves </w:t>
      </w:r>
      <w:r>
        <w:t>objectivity</w:t>
      </w:r>
      <w:r>
        <w:t xml:space="preserve"> by decreasing</w:t>
      </w:r>
      <w:r>
        <w:t xml:space="preserve"> </w:t>
      </w:r>
      <w:r>
        <w:t xml:space="preserve">individual biases, and provides a </w:t>
      </w:r>
      <w:proofErr w:type="gramStart"/>
      <w:r>
        <w:t>more full</w:t>
      </w:r>
      <w:proofErr w:type="gramEnd"/>
      <w:r>
        <w:t xml:space="preserve"> picture of the complex sides of an individual.</w:t>
      </w:r>
    </w:p>
    <w:p w14:paraId="2FDCA321" w14:textId="0DB11B80" w:rsidR="00E22ABA" w:rsidRDefault="0073000A">
      <w:r>
        <w:rPr>
          <w:noProof/>
        </w:rPr>
        <w:lastRenderedPageBreak/>
        <w:drawing>
          <wp:inline distT="0" distB="0" distL="0" distR="0" wp14:anchorId="5E78C6A1" wp14:editId="48008B15">
            <wp:extent cx="5486400" cy="3657600"/>
            <wp:effectExtent l="0" t="0" r="0" b="0"/>
            <wp:docPr id="352109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09237" name="Picture 352109237"/>
                    <pic:cNvPicPr/>
                  </pic:nvPicPr>
                  <pic:blipFill>
                    <a:blip r:embed="rId12"/>
                    <a:stretch>
                      <a:fillRect/>
                    </a:stretch>
                  </pic:blipFill>
                  <pic:spPr>
                    <a:xfrm>
                      <a:off x="0" y="0"/>
                      <a:ext cx="5486400" cy="3657600"/>
                    </a:xfrm>
                    <a:prstGeom prst="rect">
                      <a:avLst/>
                    </a:prstGeom>
                  </pic:spPr>
                </pic:pic>
              </a:graphicData>
            </a:graphic>
          </wp:inline>
        </w:drawing>
      </w:r>
    </w:p>
    <w:p w14:paraId="28DDDA1D" w14:textId="4F437BD3" w:rsidR="009C3BA3" w:rsidRDefault="009C3BA3" w:rsidP="00DA5193">
      <w:pPr>
        <w:pStyle w:val="Heading1"/>
      </w:pPr>
      <w:r>
        <w:t xml:space="preserve">Psychological Evaluations can take 4-8 weeks to </w:t>
      </w:r>
      <w:r w:rsidR="00A2072B">
        <w:t>complete</w:t>
      </w:r>
      <w:r>
        <w:t xml:space="preserve"> a final report and feedback session </w:t>
      </w:r>
      <w:proofErr w:type="gramStart"/>
      <w:r>
        <w:t>to</w:t>
      </w:r>
      <w:proofErr w:type="gramEnd"/>
      <w:r>
        <w:t xml:space="preserve"> the client/family.</w:t>
      </w:r>
    </w:p>
    <w:p w14:paraId="58E23D94" w14:textId="038F01C7" w:rsidR="00A2072B" w:rsidRDefault="00A2072B" w:rsidP="00E7735A">
      <w:pPr>
        <w:pStyle w:val="ListBullet"/>
      </w:pPr>
      <w:r>
        <w:t>The amount of time needed varies based on lots of factors including the availability of records, attendance</w:t>
      </w:r>
      <w:r w:rsidR="00E7735A">
        <w:t xml:space="preserve"> of</w:t>
      </w:r>
      <w:r>
        <w:t xml:space="preserve"> appointments, and </w:t>
      </w:r>
      <w:r w:rsidR="00E7735A">
        <w:t>timely submission of completed</w:t>
      </w:r>
      <w:r>
        <w:t xml:space="preserve"> rating scales and tests.</w:t>
      </w:r>
    </w:p>
    <w:p w14:paraId="49E55FA7" w14:textId="212FAEAD" w:rsidR="00DA5193" w:rsidRDefault="00A2072B" w:rsidP="00DA5193">
      <w:pPr>
        <w:pStyle w:val="Heading1"/>
      </w:pPr>
      <w:r>
        <w:t xml:space="preserve">Referral agents often ask what </w:t>
      </w:r>
      <w:proofErr w:type="gramStart"/>
      <w:r>
        <w:t>can we</w:t>
      </w:r>
      <w:proofErr w:type="gramEnd"/>
      <w:r>
        <w:t xml:space="preserve"> do to speed up this process.</w:t>
      </w:r>
    </w:p>
    <w:p w14:paraId="7E388317" w14:textId="74DB6315" w:rsidR="00A2072B" w:rsidRDefault="00E7735A" w:rsidP="00DA5193">
      <w:pPr>
        <w:pStyle w:val="ListBullet"/>
      </w:pPr>
      <w:r>
        <w:t xml:space="preserve">Here </w:t>
      </w:r>
      <w:proofErr w:type="gramStart"/>
      <w:r>
        <w:t>are</w:t>
      </w:r>
      <w:proofErr w:type="gramEnd"/>
      <w:r>
        <w:t xml:space="preserve"> a list of strategies</w:t>
      </w:r>
      <w:r w:rsidR="00A2072B">
        <w:t xml:space="preserve"> to increase </w:t>
      </w:r>
      <w:proofErr w:type="gramStart"/>
      <w:r w:rsidR="00A2072B">
        <w:t>the efficiency</w:t>
      </w:r>
      <w:proofErr w:type="gramEnd"/>
      <w:r w:rsidR="00A2072B">
        <w:t xml:space="preserve"> and decrease completion time:</w:t>
      </w:r>
    </w:p>
    <w:p w14:paraId="64A7B362" w14:textId="7649D4DA" w:rsidR="00A2072B" w:rsidRDefault="00A2072B" w:rsidP="00A2072B">
      <w:pPr>
        <w:pStyle w:val="ListBullet"/>
        <w:tabs>
          <w:tab w:val="clear" w:pos="360"/>
          <w:tab w:val="num" w:pos="720"/>
        </w:tabs>
        <w:ind w:left="720"/>
      </w:pPr>
      <w:r>
        <w:t xml:space="preserve">Compile records </w:t>
      </w:r>
      <w:r w:rsidR="00E7735A">
        <w:t xml:space="preserve">created by </w:t>
      </w:r>
      <w:r>
        <w:t>the referral agent</w:t>
      </w:r>
      <w:r w:rsidR="00E7735A">
        <w:t xml:space="preserve"> (intake assessments, service plans, </w:t>
      </w:r>
      <w:proofErr w:type="spellStart"/>
      <w:r w:rsidR="00E7735A">
        <w:t>etc</w:t>
      </w:r>
      <w:proofErr w:type="spellEnd"/>
      <w:r w:rsidR="00E7735A">
        <w:t xml:space="preserve">) </w:t>
      </w:r>
      <w:r>
        <w:t>and share all records that have been shared by other agencies (see list of Common Records Needed)</w:t>
      </w:r>
    </w:p>
    <w:p w14:paraId="146CC5A3" w14:textId="2BF4566F" w:rsidR="00BD7D29" w:rsidRDefault="00BD7D29" w:rsidP="00BD7D29">
      <w:pPr>
        <w:pStyle w:val="ListBullet"/>
        <w:tabs>
          <w:tab w:val="clear" w:pos="360"/>
          <w:tab w:val="num" w:pos="1080"/>
        </w:tabs>
        <w:ind w:left="1080"/>
      </w:pPr>
      <w:r>
        <w:lastRenderedPageBreak/>
        <w:t>Work with the family to search and find reports and records from key activities or agencies</w:t>
      </w:r>
      <w:r w:rsidR="0038324A">
        <w:t xml:space="preserve"> to bring to the initial meeting</w:t>
      </w:r>
    </w:p>
    <w:p w14:paraId="6465827B" w14:textId="16BF5A7D" w:rsidR="00A2072B" w:rsidRDefault="00BD7D29" w:rsidP="00BD7D29">
      <w:pPr>
        <w:pStyle w:val="ListBullet"/>
        <w:tabs>
          <w:tab w:val="clear" w:pos="360"/>
          <w:tab w:val="num" w:pos="1080"/>
        </w:tabs>
        <w:ind w:left="1080"/>
      </w:pPr>
      <w:r>
        <w:t>Obtain releases of information</w:t>
      </w:r>
      <w:r w:rsidR="00E7735A">
        <w:t xml:space="preserve"> from agencies associated with the list of common documents below.  If possible,</w:t>
      </w:r>
      <w:r>
        <w:t xml:space="preserve"> </w:t>
      </w:r>
      <w:r w:rsidR="00E7735A">
        <w:t>collect</w:t>
      </w:r>
      <w:r>
        <w:t xml:space="preserve"> records from multiple agencies to share with SATTC for evaluation purposes.</w:t>
      </w:r>
    </w:p>
    <w:p w14:paraId="0BAEC112" w14:textId="77777777" w:rsidR="00E7735A" w:rsidRDefault="00E7735A" w:rsidP="00E7735A">
      <w:pPr>
        <w:pStyle w:val="ListBullet"/>
        <w:tabs>
          <w:tab w:val="clear" w:pos="360"/>
          <w:tab w:val="num" w:pos="1440"/>
        </w:tabs>
        <w:ind w:left="1440"/>
      </w:pPr>
      <w:r>
        <w:t xml:space="preserve">Records held that were created by or shared with the referral agency can be shared with a single Release of Information. </w:t>
      </w:r>
    </w:p>
    <w:p w14:paraId="63F720E7" w14:textId="0EF7C78D" w:rsidR="0038324A" w:rsidRDefault="0038324A" w:rsidP="0038324A">
      <w:pPr>
        <w:pStyle w:val="ListBullet"/>
        <w:tabs>
          <w:tab w:val="clear" w:pos="360"/>
          <w:tab w:val="num" w:pos="1440"/>
        </w:tabs>
        <w:ind w:left="1440"/>
      </w:pPr>
      <w:r>
        <w:t xml:space="preserve">SATTC Release of Information can be found here: </w:t>
      </w:r>
      <w:hyperlink r:id="rId13" w:history="1">
        <w:r w:rsidRPr="002B7925">
          <w:rPr>
            <w:rStyle w:val="Hyperlink"/>
          </w:rPr>
          <w:t>https://img1.wsimg.com/blobby/go/0945c099-6201-4d5f-8d3e-ce9d69261f44/downloads/e01b5c6c-9c6f-4476-b9b8-ecb4ee357f15/SATTC%20consent%20to%20Treat%20and%20Limits%20to%20Confident.pdf?ver=1777496362052</w:t>
        </w:r>
      </w:hyperlink>
      <w:r>
        <w:t xml:space="preserve"> </w:t>
      </w:r>
    </w:p>
    <w:p w14:paraId="51C830CD" w14:textId="12C33877" w:rsidR="00E7735A" w:rsidRDefault="00BD7D29" w:rsidP="00E7735A">
      <w:pPr>
        <w:pStyle w:val="ListBullet"/>
        <w:tabs>
          <w:tab w:val="clear" w:pos="360"/>
          <w:tab w:val="num" w:pos="720"/>
        </w:tabs>
        <w:ind w:left="720"/>
      </w:pPr>
      <w:r>
        <w:t xml:space="preserve">After the initial referral, the family will receive a welcome message </w:t>
      </w:r>
      <w:r w:rsidR="00305F79">
        <w:t xml:space="preserve">to their email address </w:t>
      </w:r>
      <w:r>
        <w:t xml:space="preserve">from </w:t>
      </w:r>
      <w:proofErr w:type="spellStart"/>
      <w:r>
        <w:t>TherapyNotes</w:t>
      </w:r>
      <w:proofErr w:type="spellEnd"/>
      <w:r>
        <w:t xml:space="preserve"> – SATTC’s Electronic Health Records.  Encouraging and coaching the family to complete the opening paperwork, consent forms, and other forms over the portal prior to the initial meeting will allow the examiner to start testing immediately</w:t>
      </w:r>
      <w:r w:rsidR="00E7735A">
        <w:t>.</w:t>
      </w:r>
    </w:p>
    <w:p w14:paraId="24726A5F" w14:textId="4CEFBCB4" w:rsidR="00E7735A" w:rsidRDefault="00E7735A" w:rsidP="00E7735A">
      <w:pPr>
        <w:pStyle w:val="ListBullet"/>
        <w:tabs>
          <w:tab w:val="clear" w:pos="360"/>
          <w:tab w:val="num" w:pos="720"/>
        </w:tabs>
        <w:ind w:left="720"/>
      </w:pPr>
      <w:r>
        <w:t>Have the family complete SATTC Consent for Treatment in addition to releases of information:</w:t>
      </w:r>
    </w:p>
    <w:p w14:paraId="5CA9AB4D" w14:textId="184D577B" w:rsidR="00E7735A" w:rsidRDefault="00E7735A" w:rsidP="00E7735A">
      <w:pPr>
        <w:pStyle w:val="ListBullet"/>
        <w:tabs>
          <w:tab w:val="clear" w:pos="360"/>
          <w:tab w:val="num" w:pos="1080"/>
        </w:tabs>
        <w:ind w:left="1080"/>
      </w:pPr>
      <w:r>
        <w:t>SATTC Consent for Treatment can be found here:</w:t>
      </w:r>
      <w:r>
        <w:br/>
      </w:r>
      <w:hyperlink r:id="rId14" w:history="1">
        <w:r w:rsidRPr="002B7925">
          <w:rPr>
            <w:rStyle w:val="Hyperlink"/>
          </w:rPr>
          <w:t>https://img1.wsimg.com/blobby/go/0945c099-6201-4d5f-8d3e-ce9d69261f44/downloads/e01b5c6c-9c6f-4476-b9b8-ecb4ee357f15/SATTC%20consent%20to%20Treat%20and%20Limits%20to%20Confident.pdf?ver=1777506814713</w:t>
        </w:r>
      </w:hyperlink>
      <w:r>
        <w:t xml:space="preserve"> </w:t>
      </w:r>
    </w:p>
    <w:p w14:paraId="458007F8" w14:textId="686A938A" w:rsidR="00D7278F" w:rsidRDefault="00A2072B" w:rsidP="00D7278F">
      <w:pPr>
        <w:pStyle w:val="Heading1"/>
      </w:pPr>
      <w:r>
        <w:t>Common Records Needed</w:t>
      </w:r>
      <w:r w:rsidR="00D7278F">
        <w:t xml:space="preserve"> (Expanded Detail)</w:t>
      </w:r>
    </w:p>
    <w:p w14:paraId="5BBE7F45" w14:textId="77777777" w:rsidR="00D7278F" w:rsidRDefault="00D7278F" w:rsidP="00D7278F">
      <w:pPr>
        <w:pStyle w:val="ListBullet"/>
      </w:pPr>
      <w:r>
        <w:t>Most recent IM+CANS</w:t>
      </w:r>
    </w:p>
    <w:p w14:paraId="36257387" w14:textId="77777777" w:rsidR="00D7278F" w:rsidRDefault="00D7278F" w:rsidP="00D7278F">
      <w:pPr>
        <w:pStyle w:val="ListBullet"/>
      </w:pPr>
      <w:r>
        <w:t>IM+CATS or detailed crisis descriptions (2 years + lifetime)</w:t>
      </w:r>
    </w:p>
    <w:p w14:paraId="55CDC660" w14:textId="77777777" w:rsidR="00D7278F" w:rsidRDefault="00D7278F" w:rsidP="00D7278F">
      <w:pPr>
        <w:pStyle w:val="ListBullet"/>
      </w:pPr>
      <w:r>
        <w:t>Psychiatric hospitalization summaries (LOS, diagnosis, meds, crisis plan)</w:t>
      </w:r>
    </w:p>
    <w:p w14:paraId="524043E4" w14:textId="77777777" w:rsidR="00D7278F" w:rsidRDefault="00D7278F" w:rsidP="00D7278F">
      <w:pPr>
        <w:pStyle w:val="ListBullet"/>
      </w:pPr>
      <w:r>
        <w:t>Residential treatment summaries (LOS, diagnosis, meds, crisis plan)</w:t>
      </w:r>
    </w:p>
    <w:p w14:paraId="067954B4" w14:textId="77777777" w:rsidR="00D7278F" w:rsidRDefault="00D7278F" w:rsidP="00D7278F">
      <w:pPr>
        <w:pStyle w:val="ListBullet"/>
      </w:pPr>
      <w:r>
        <w:t>Full IEP document</w:t>
      </w:r>
    </w:p>
    <w:p w14:paraId="77B32CD1" w14:textId="77777777" w:rsidR="00D7278F" w:rsidRDefault="00D7278F" w:rsidP="00D7278F">
      <w:pPr>
        <w:pStyle w:val="ListBullet"/>
      </w:pPr>
      <w:r>
        <w:t>Crisis Management Plan</w:t>
      </w:r>
    </w:p>
    <w:p w14:paraId="2FCB4D4E" w14:textId="77777777" w:rsidR="00D7278F" w:rsidRDefault="00D7278F" w:rsidP="00D7278F">
      <w:pPr>
        <w:pStyle w:val="ListBullet"/>
      </w:pPr>
      <w:r>
        <w:t>Outpatient mental health summaries (frequency, attendance, compliance)</w:t>
      </w:r>
    </w:p>
    <w:p w14:paraId="25617B16" w14:textId="77777777" w:rsidR="00D7278F" w:rsidRDefault="00D7278F" w:rsidP="00D7278F">
      <w:pPr>
        <w:pStyle w:val="ListBullet"/>
      </w:pPr>
      <w:r>
        <w:lastRenderedPageBreak/>
        <w:t>Psychiatric service summaries (medication, labs, compliance)</w:t>
      </w:r>
    </w:p>
    <w:p w14:paraId="27BBB4FD" w14:textId="77777777" w:rsidR="00D7278F" w:rsidRDefault="00D7278F" w:rsidP="00D7278F">
      <w:pPr>
        <w:pStyle w:val="ListBullet"/>
      </w:pPr>
      <w:r>
        <w:t>Medical/developmental records</w:t>
      </w:r>
    </w:p>
    <w:p w14:paraId="671B1803" w14:textId="77777777" w:rsidR="00D7278F" w:rsidRDefault="00D7278F" w:rsidP="00D7278F">
      <w:pPr>
        <w:pStyle w:val="ListBullet"/>
      </w:pPr>
      <w:r>
        <w:t>Provider prognosis/opinion</w:t>
      </w:r>
    </w:p>
    <w:p w14:paraId="15751D95" w14:textId="77777777" w:rsidR="00D7278F" w:rsidRDefault="00D7278F" w:rsidP="00D7278F">
      <w:pPr>
        <w:pStyle w:val="ListBullet"/>
      </w:pPr>
      <w:r>
        <w:t>DCFS reports</w:t>
      </w:r>
    </w:p>
    <w:p w14:paraId="10AC853C" w14:textId="3D4C4094" w:rsidR="00D7278F" w:rsidRDefault="00D7278F" w:rsidP="006D6D98">
      <w:pPr>
        <w:pStyle w:val="ListBullet"/>
      </w:pPr>
      <w:r>
        <w:t>Family system records if relevant</w:t>
      </w:r>
    </w:p>
    <w:p w14:paraId="50DB4618" w14:textId="77777777" w:rsidR="00E22ABA" w:rsidRDefault="00000000">
      <w:pPr>
        <w:pStyle w:val="Heading1"/>
      </w:pPr>
      <w:r>
        <w:t>Benefits of Psychological Evaluations</w:t>
      </w:r>
    </w:p>
    <w:p w14:paraId="3AE2C1DC" w14:textId="77777777" w:rsidR="00E7735A" w:rsidRDefault="00E7735A">
      <w:pPr>
        <w:pStyle w:val="ListBullet"/>
      </w:pPr>
      <w:r>
        <w:t>Comprehensive evaluation that can rule out and confirm Behavioral Health Diagnoses.</w:t>
      </w:r>
    </w:p>
    <w:p w14:paraId="41D9EB6C" w14:textId="77777777" w:rsidR="003C5F15" w:rsidRDefault="003C5F15" w:rsidP="003C5F15">
      <w:pPr>
        <w:pStyle w:val="ListBullet"/>
        <w:tabs>
          <w:tab w:val="clear" w:pos="360"/>
          <w:tab w:val="num" w:pos="720"/>
        </w:tabs>
        <w:ind w:left="720"/>
      </w:pPr>
      <w:r>
        <w:t>Increased validity, reliability, and confidence in diagnoses</w:t>
      </w:r>
    </w:p>
    <w:p w14:paraId="6A416644" w14:textId="77777777" w:rsidR="003C5F15" w:rsidRDefault="003C5F15" w:rsidP="003C5F15">
      <w:pPr>
        <w:pStyle w:val="ListBullet"/>
        <w:tabs>
          <w:tab w:val="clear" w:pos="360"/>
          <w:tab w:val="num" w:pos="720"/>
        </w:tabs>
        <w:ind w:left="720"/>
      </w:pPr>
      <w:r>
        <w:t>Methodology that d</w:t>
      </w:r>
      <w:r w:rsidR="00000000">
        <w:t>ecreases bias</w:t>
      </w:r>
    </w:p>
    <w:p w14:paraId="5865999D" w14:textId="77777777" w:rsidR="003C5F15" w:rsidRDefault="003C5F15" w:rsidP="003C5F15">
      <w:pPr>
        <w:pStyle w:val="ListBullet"/>
        <w:tabs>
          <w:tab w:val="clear" w:pos="360"/>
          <w:tab w:val="num" w:pos="720"/>
        </w:tabs>
        <w:ind w:left="720"/>
      </w:pPr>
      <w:r>
        <w:t xml:space="preserve">Use of </w:t>
      </w:r>
      <w:r w:rsidR="00000000">
        <w:t>Psychometrically valid tools</w:t>
      </w:r>
    </w:p>
    <w:p w14:paraId="34917A3E" w14:textId="4FA57B4F" w:rsidR="00E22ABA" w:rsidRDefault="003C5F15" w:rsidP="003C5F15">
      <w:pPr>
        <w:pStyle w:val="ListBullet"/>
        <w:tabs>
          <w:tab w:val="clear" w:pos="360"/>
          <w:tab w:val="num" w:pos="720"/>
        </w:tabs>
        <w:ind w:left="720"/>
      </w:pPr>
      <w:r>
        <w:t>Use of n</w:t>
      </w:r>
      <w:r w:rsidR="00000000">
        <w:t>orm referenced results</w:t>
      </w:r>
    </w:p>
    <w:p w14:paraId="163E0B16" w14:textId="240602F9" w:rsidR="003C5F15" w:rsidRDefault="003C5F15" w:rsidP="003C5F15">
      <w:pPr>
        <w:pStyle w:val="ListBullet"/>
        <w:tabs>
          <w:tab w:val="clear" w:pos="360"/>
          <w:tab w:val="num" w:pos="720"/>
        </w:tabs>
        <w:ind w:left="720"/>
      </w:pPr>
      <w:r>
        <w:t>Recommendations based on complex testing results</w:t>
      </w:r>
    </w:p>
    <w:p w14:paraId="1ECDB4F7" w14:textId="6C298B3D" w:rsidR="003C5F15" w:rsidRDefault="003C5F15" w:rsidP="003C5F15">
      <w:pPr>
        <w:pStyle w:val="ListBullet"/>
        <w:tabs>
          <w:tab w:val="clear" w:pos="360"/>
          <w:tab w:val="num" w:pos="720"/>
        </w:tabs>
        <w:ind w:left="720"/>
      </w:pPr>
      <w:r>
        <w:t>System accepted results</w:t>
      </w:r>
    </w:p>
    <w:sectPr w:rsidR="003C5F15" w:rsidSect="00034616">
      <w:headerReference w:type="default"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FE4BB" w14:textId="77777777" w:rsidR="00DC1280" w:rsidRDefault="00DC1280">
      <w:pPr>
        <w:spacing w:after="0" w:line="240" w:lineRule="auto"/>
      </w:pPr>
      <w:r>
        <w:separator/>
      </w:r>
    </w:p>
  </w:endnote>
  <w:endnote w:type="continuationSeparator" w:id="0">
    <w:p w14:paraId="7C7ED04B" w14:textId="77777777" w:rsidR="00DC1280" w:rsidRDefault="00DC1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9A08D" w14:textId="77777777" w:rsidR="00E22ABA" w:rsidRDefault="00000000">
    <w:pPr>
      <w:pStyle w:val="Footer"/>
      <w:jc w:val="center"/>
    </w:pPr>
    <w:r>
      <w:t>Stress &amp; Trauma Treatment Center, Inc. | Psychological Evaluation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194E5" w14:textId="77777777" w:rsidR="00DC1280" w:rsidRDefault="00DC1280">
      <w:pPr>
        <w:spacing w:after="0" w:line="240" w:lineRule="auto"/>
      </w:pPr>
      <w:r>
        <w:separator/>
      </w:r>
    </w:p>
  </w:footnote>
  <w:footnote w:type="continuationSeparator" w:id="0">
    <w:p w14:paraId="516CD29C" w14:textId="77777777" w:rsidR="00DC1280" w:rsidRDefault="00DC1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4920"/>
      <w:gridCol w:w="2145"/>
    </w:tblGrid>
    <w:tr w:rsidR="006D6D98" w14:paraId="70130728" w14:textId="77777777" w:rsidTr="006D6D98">
      <w:trPr>
        <w:trHeight w:val="2150"/>
        <w:jc w:val="center"/>
      </w:trPr>
      <w:tc>
        <w:tcPr>
          <w:tcW w:w="2295" w:type="dxa"/>
          <w:tcBorders>
            <w:top w:val="nil"/>
            <w:left w:val="nil"/>
            <w:bottom w:val="nil"/>
            <w:right w:val="nil"/>
          </w:tcBorders>
          <w:tcMar>
            <w:top w:w="100" w:type="dxa"/>
            <w:left w:w="100" w:type="dxa"/>
            <w:bottom w:w="100" w:type="dxa"/>
            <w:right w:w="100" w:type="dxa"/>
          </w:tcMar>
        </w:tcPr>
        <w:p w14:paraId="2127F475" w14:textId="77777777" w:rsidR="006D6D98" w:rsidRDefault="006D6D98" w:rsidP="006D6D98">
          <w:pPr>
            <w:tabs>
              <w:tab w:val="center" w:pos="4320"/>
              <w:tab w:val="right" w:pos="8640"/>
            </w:tabs>
            <w:spacing w:line="240" w:lineRule="auto"/>
            <w:rPr>
              <w:rFonts w:ascii="Times New Roman" w:eastAsia="Times New Roman" w:hAnsi="Times New Roman" w:cs="Times New Roman"/>
              <w:b/>
              <w:i/>
              <w:sz w:val="20"/>
              <w:szCs w:val="20"/>
            </w:rPr>
          </w:pPr>
        </w:p>
        <w:p w14:paraId="14D9F1BE" w14:textId="77777777" w:rsidR="006D6D98" w:rsidRDefault="006D6D98" w:rsidP="006D6D98">
          <w:pPr>
            <w:tabs>
              <w:tab w:val="center" w:pos="4320"/>
              <w:tab w:val="right" w:pos="8640"/>
            </w:tabs>
            <w:spacing w:line="240" w:lineRule="auto"/>
            <w:rPr>
              <w:rFonts w:ascii="Times New Roman" w:eastAsia="Times New Roman" w:hAnsi="Times New Roman" w:cs="Times New Roman"/>
              <w:b/>
              <w:i/>
              <w:sz w:val="20"/>
              <w:szCs w:val="20"/>
            </w:rPr>
          </w:pPr>
        </w:p>
        <w:p w14:paraId="081BB335" w14:textId="77777777" w:rsidR="006D6D98" w:rsidRDefault="006D6D98" w:rsidP="006D6D98">
          <w:pPr>
            <w:tabs>
              <w:tab w:val="center" w:pos="4320"/>
              <w:tab w:val="right" w:pos="8640"/>
            </w:tabs>
            <w:spacing w:line="240" w:lineRule="auto"/>
            <w:rPr>
              <w:rFonts w:ascii="Times New Roman" w:eastAsia="Times New Roman" w:hAnsi="Times New Roman" w:cs="Times New Roman"/>
              <w:b/>
              <w:i/>
              <w:sz w:val="20"/>
              <w:szCs w:val="20"/>
            </w:rPr>
          </w:pPr>
        </w:p>
        <w:p w14:paraId="29B6C009" w14:textId="77777777" w:rsidR="006D6D98" w:rsidRDefault="006D6D98" w:rsidP="006D6D98">
          <w:pPr>
            <w:tabs>
              <w:tab w:val="center" w:pos="4320"/>
              <w:tab w:val="right" w:pos="8640"/>
            </w:tabs>
            <w:spacing w:line="240" w:lineRule="auto"/>
            <w:rPr>
              <w:rFonts w:ascii="Times New Roman" w:eastAsia="Times New Roman" w:hAnsi="Times New Roman" w:cs="Times New Roman"/>
              <w:b/>
              <w:i/>
              <w:sz w:val="20"/>
              <w:szCs w:val="20"/>
            </w:rPr>
          </w:pPr>
        </w:p>
        <w:p w14:paraId="62F1F38E" w14:textId="77777777" w:rsidR="006D6D98" w:rsidRDefault="006D6D98" w:rsidP="006D6D98">
          <w:pPr>
            <w:tabs>
              <w:tab w:val="center" w:pos="4320"/>
              <w:tab w:val="right" w:pos="8640"/>
            </w:tabs>
            <w:spacing w:line="240" w:lineRule="auto"/>
            <w:rPr>
              <w:rFonts w:ascii="Times New Roman" w:eastAsia="Times New Roman" w:hAnsi="Times New Roman" w:cs="Times New Roman"/>
              <w:b/>
              <w:i/>
              <w:sz w:val="20"/>
              <w:szCs w:val="20"/>
            </w:rPr>
          </w:pPr>
        </w:p>
        <w:p w14:paraId="77198A11" w14:textId="77777777" w:rsidR="006D6D98" w:rsidRDefault="006D6D98" w:rsidP="006D6D98">
          <w:pPr>
            <w:tabs>
              <w:tab w:val="center" w:pos="4320"/>
              <w:tab w:val="right" w:pos="8640"/>
            </w:tabs>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Matt Buckman, PhD</w:t>
          </w:r>
        </w:p>
        <w:p w14:paraId="29D29534" w14:textId="77777777" w:rsidR="006D6D98" w:rsidRDefault="006D6D98" w:rsidP="006D6D98">
          <w:pPr>
            <w:tabs>
              <w:tab w:val="center" w:pos="4320"/>
              <w:tab w:val="right" w:pos="8640"/>
            </w:tabs>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Licensed Psychologist</w:t>
          </w:r>
        </w:p>
      </w:tc>
      <w:tc>
        <w:tcPr>
          <w:tcW w:w="4920" w:type="dxa"/>
          <w:tcBorders>
            <w:top w:val="nil"/>
            <w:left w:val="nil"/>
            <w:bottom w:val="nil"/>
            <w:right w:val="nil"/>
          </w:tcBorders>
          <w:tcMar>
            <w:top w:w="100" w:type="dxa"/>
            <w:left w:w="100" w:type="dxa"/>
            <w:bottom w:w="100" w:type="dxa"/>
            <w:right w:w="100" w:type="dxa"/>
          </w:tcMar>
        </w:tcPr>
        <w:p w14:paraId="0EB2BC71" w14:textId="77777777" w:rsidR="006D6D98" w:rsidRDefault="006D6D98" w:rsidP="006D6D98">
          <w:pPr>
            <w:pStyle w:val="Heading2"/>
            <w:spacing w:before="0" w:line="240" w:lineRule="auto"/>
            <w:jc w:val="center"/>
            <w:rPr>
              <w:rFonts w:ascii="Times New Roman" w:eastAsia="Times New Roman" w:hAnsi="Times New Roman" w:cs="Times New Roman"/>
              <w:b w:val="0"/>
              <w:sz w:val="28"/>
              <w:szCs w:val="28"/>
            </w:rPr>
          </w:pPr>
          <w:bookmarkStart w:id="0" w:name="_30j0zll" w:colFirst="0" w:colLast="0"/>
          <w:bookmarkEnd w:id="0"/>
          <w:r>
            <w:rPr>
              <w:rFonts w:ascii="Times New Roman" w:eastAsia="Times New Roman" w:hAnsi="Times New Roman" w:cs="Times New Roman"/>
              <w:sz w:val="28"/>
              <w:szCs w:val="28"/>
            </w:rPr>
            <w:t xml:space="preserve">Stress &amp; Trauma </w:t>
          </w:r>
        </w:p>
        <w:p w14:paraId="79F3F8A3" w14:textId="77777777" w:rsidR="006D6D98" w:rsidRDefault="006D6D98" w:rsidP="006D6D98">
          <w:pPr>
            <w:pStyle w:val="Heading2"/>
            <w:spacing w:before="0" w:line="240" w:lineRule="auto"/>
            <w:jc w:val="center"/>
            <w:rPr>
              <w:rFonts w:ascii="Times New Roman" w:eastAsia="Times New Roman" w:hAnsi="Times New Roman" w:cs="Times New Roman"/>
              <w:b w:val="0"/>
              <w:sz w:val="28"/>
              <w:szCs w:val="28"/>
            </w:rPr>
          </w:pPr>
          <w:bookmarkStart w:id="1" w:name="_1fob9te" w:colFirst="0" w:colLast="0"/>
          <w:bookmarkEnd w:id="1"/>
          <w:r>
            <w:rPr>
              <w:rFonts w:ascii="Times New Roman" w:eastAsia="Times New Roman" w:hAnsi="Times New Roman" w:cs="Times New Roman"/>
              <w:sz w:val="28"/>
              <w:szCs w:val="28"/>
            </w:rPr>
            <w:t>Treatment Center, Inc.</w:t>
          </w:r>
        </w:p>
        <w:p w14:paraId="1F969142" w14:textId="77777777" w:rsidR="006D6D98" w:rsidRDefault="006D6D98" w:rsidP="006D6D98">
          <w:pPr>
            <w:spacing w:line="240" w:lineRule="auto"/>
            <w:jc w:val="center"/>
            <w:rPr>
              <w:rFonts w:ascii="Times New Roman" w:eastAsia="Times New Roman" w:hAnsi="Times New Roman" w:cs="Times New Roman"/>
              <w:b/>
              <w:color w:val="CC4125"/>
              <w:sz w:val="24"/>
              <w:szCs w:val="24"/>
            </w:rPr>
          </w:pPr>
          <w:r>
            <w:rPr>
              <w:rFonts w:ascii="Times New Roman" w:eastAsia="Times New Roman" w:hAnsi="Times New Roman" w:cs="Times New Roman"/>
              <w:b/>
              <w:noProof/>
              <w:sz w:val="24"/>
              <w:szCs w:val="24"/>
            </w:rPr>
            <w:drawing>
              <wp:inline distT="114300" distB="114300" distL="114300" distR="114300" wp14:anchorId="06380A8C" wp14:editId="2EF95FB2">
                <wp:extent cx="814388" cy="787241"/>
                <wp:effectExtent l="0" t="0" r="0" b="0"/>
                <wp:docPr id="16982854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4388" cy="787241"/>
                        </a:xfrm>
                        <a:prstGeom prst="rect">
                          <a:avLst/>
                        </a:prstGeom>
                        <a:ln/>
                      </pic:spPr>
                    </pic:pic>
                  </a:graphicData>
                </a:graphic>
              </wp:inline>
            </w:drawing>
          </w:r>
        </w:p>
      </w:tc>
      <w:tc>
        <w:tcPr>
          <w:tcW w:w="2145" w:type="dxa"/>
          <w:tcBorders>
            <w:top w:val="nil"/>
            <w:left w:val="nil"/>
            <w:bottom w:val="nil"/>
            <w:right w:val="nil"/>
          </w:tcBorders>
          <w:tcMar>
            <w:top w:w="100" w:type="dxa"/>
            <w:left w:w="100" w:type="dxa"/>
            <w:bottom w:w="100" w:type="dxa"/>
            <w:right w:w="100" w:type="dxa"/>
          </w:tcMar>
        </w:tcPr>
        <w:p w14:paraId="6E4F572F" w14:textId="77777777" w:rsidR="006D6D98" w:rsidRDefault="006D6D98" w:rsidP="006D6D98">
          <w:pPr>
            <w:widowControl w:val="0"/>
            <w:spacing w:line="240" w:lineRule="auto"/>
            <w:rPr>
              <w:rFonts w:ascii="Times New Roman" w:eastAsia="Times New Roman" w:hAnsi="Times New Roman" w:cs="Times New Roman"/>
              <w:sz w:val="20"/>
              <w:szCs w:val="20"/>
            </w:rPr>
          </w:pPr>
        </w:p>
        <w:p w14:paraId="74D0877A" w14:textId="77777777" w:rsidR="006D6D98" w:rsidRDefault="006D6D98" w:rsidP="006D6D98">
          <w:pPr>
            <w:widowControl w:val="0"/>
            <w:spacing w:line="240" w:lineRule="auto"/>
            <w:rPr>
              <w:rFonts w:ascii="Times New Roman" w:eastAsia="Times New Roman" w:hAnsi="Times New Roman" w:cs="Times New Roman"/>
              <w:sz w:val="20"/>
              <w:szCs w:val="20"/>
            </w:rPr>
          </w:pPr>
        </w:p>
        <w:p w14:paraId="7EEA589D" w14:textId="77777777" w:rsidR="006D6D98" w:rsidRDefault="006D6D98" w:rsidP="006D6D98">
          <w:pPr>
            <w:widowControl w:val="0"/>
            <w:spacing w:line="240" w:lineRule="auto"/>
            <w:rPr>
              <w:rFonts w:ascii="Times New Roman" w:eastAsia="Times New Roman" w:hAnsi="Times New Roman" w:cs="Times New Roman"/>
              <w:sz w:val="20"/>
              <w:szCs w:val="20"/>
            </w:rPr>
          </w:pPr>
        </w:p>
        <w:p w14:paraId="7F5684A1" w14:textId="77777777" w:rsidR="006D6D98" w:rsidRDefault="006D6D98" w:rsidP="006D6D98">
          <w:pPr>
            <w:widowControl w:val="0"/>
            <w:spacing w:line="240" w:lineRule="auto"/>
            <w:rPr>
              <w:rFonts w:ascii="Times New Roman" w:eastAsia="Times New Roman" w:hAnsi="Times New Roman" w:cs="Times New Roman"/>
              <w:sz w:val="20"/>
              <w:szCs w:val="20"/>
            </w:rPr>
          </w:pPr>
        </w:p>
        <w:p w14:paraId="352B0F99" w14:textId="77777777" w:rsidR="006D6D98" w:rsidRDefault="006D6D98" w:rsidP="006D6D98">
          <w:pPr>
            <w:widowControl w:val="0"/>
            <w:spacing w:line="240" w:lineRule="auto"/>
            <w:rPr>
              <w:rFonts w:ascii="Times New Roman" w:eastAsia="Times New Roman" w:hAnsi="Times New Roman" w:cs="Times New Roman"/>
              <w:sz w:val="20"/>
              <w:szCs w:val="20"/>
            </w:rPr>
          </w:pPr>
        </w:p>
        <w:p w14:paraId="500224D7" w14:textId="77777777" w:rsidR="006D6D98" w:rsidRDefault="006D6D98" w:rsidP="006D6D98">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1200 Locust St</w:t>
          </w:r>
        </w:p>
        <w:p w14:paraId="7D4C3826" w14:textId="77777777" w:rsidR="006D6D98" w:rsidRDefault="006D6D98" w:rsidP="006D6D98">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Eldorado, IL 62930</w:t>
          </w:r>
        </w:p>
      </w:tc>
    </w:tr>
  </w:tbl>
  <w:p w14:paraId="6BBD31CC" w14:textId="67610200" w:rsidR="00E22ABA" w:rsidRPr="006D6D98" w:rsidRDefault="00E22ABA" w:rsidP="006D6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D13EC714"/>
    <w:lvl w:ilvl="0">
      <w:start w:val="1"/>
      <w:numFmt w:val="bullet"/>
      <w:pStyle w:val="ListBullet"/>
      <w:lvlText w:val=""/>
      <w:lvlJc w:val="left"/>
      <w:pPr>
        <w:tabs>
          <w:tab w:val="num" w:pos="360"/>
        </w:tabs>
        <w:ind w:left="360" w:hanging="360"/>
      </w:pPr>
      <w:rPr>
        <w:rFonts w:ascii="Symbol" w:hAnsi="Symbol" w:hint="default"/>
      </w:rPr>
    </w:lvl>
  </w:abstractNum>
  <w:num w:numId="1" w16cid:durableId="1992712074">
    <w:abstractNumId w:val="8"/>
  </w:num>
  <w:num w:numId="2" w16cid:durableId="616454036">
    <w:abstractNumId w:val="6"/>
  </w:num>
  <w:num w:numId="3" w16cid:durableId="1725639102">
    <w:abstractNumId w:val="5"/>
  </w:num>
  <w:num w:numId="4" w16cid:durableId="1518695030">
    <w:abstractNumId w:val="4"/>
  </w:num>
  <w:num w:numId="5" w16cid:durableId="1174340661">
    <w:abstractNumId w:val="7"/>
  </w:num>
  <w:num w:numId="6" w16cid:durableId="1414818455">
    <w:abstractNumId w:val="3"/>
  </w:num>
  <w:num w:numId="7" w16cid:durableId="168982039">
    <w:abstractNumId w:val="2"/>
  </w:num>
  <w:num w:numId="8" w16cid:durableId="1727485851">
    <w:abstractNumId w:val="1"/>
  </w:num>
  <w:num w:numId="9" w16cid:durableId="1943149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0390B"/>
    <w:rsid w:val="0015074B"/>
    <w:rsid w:val="0029639D"/>
    <w:rsid w:val="00305F79"/>
    <w:rsid w:val="00326F90"/>
    <w:rsid w:val="0038324A"/>
    <w:rsid w:val="003C5F15"/>
    <w:rsid w:val="006D6D98"/>
    <w:rsid w:val="0073000A"/>
    <w:rsid w:val="009C3BA3"/>
    <w:rsid w:val="00A2072B"/>
    <w:rsid w:val="00AA1D8D"/>
    <w:rsid w:val="00B47730"/>
    <w:rsid w:val="00B657B0"/>
    <w:rsid w:val="00BD7D29"/>
    <w:rsid w:val="00CB0664"/>
    <w:rsid w:val="00D7278F"/>
    <w:rsid w:val="00DA5193"/>
    <w:rsid w:val="00DC1280"/>
    <w:rsid w:val="00E22ABA"/>
    <w:rsid w:val="00E3682F"/>
    <w:rsid w:val="00E7735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E5FE1A"/>
  <w14:defaultImageDpi w14:val="300"/>
  <w15:docId w15:val="{2FC8BF50-3118-43A7-B877-EA6C571DB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6D6D98"/>
    <w:rPr>
      <w:color w:val="0000FF" w:themeColor="hyperlink"/>
      <w:u w:val="single"/>
    </w:rPr>
  </w:style>
  <w:style w:type="character" w:styleId="UnresolvedMention">
    <w:name w:val="Unresolved Mention"/>
    <w:basedOn w:val="DefaultParagraphFont"/>
    <w:uiPriority w:val="99"/>
    <w:semiHidden/>
    <w:unhideWhenUsed/>
    <w:rsid w:val="006D6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essandtrauma.org" TargetMode="External"/><Relationship Id="rId13" Type="http://schemas.openxmlformats.org/officeDocument/2006/relationships/hyperlink" Target="https://img1.wsimg.com/blobby/go/0945c099-6201-4d5f-8d3e-ce9d69261f44/downloads/e01b5c6c-9c6f-4476-b9b8-ecb4ee357f15/SATTC%20consent%20to%20Treat%20and%20Limits%20to%20Confident.pdf?ver=177749636205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help@stressandtrauma.org" TargetMode="External"/><Relationship Id="rId14" Type="http://schemas.openxmlformats.org/officeDocument/2006/relationships/hyperlink" Target="https://img1.wsimg.com/blobby/go/0945c099-6201-4d5f-8d3e-ce9d69261f44/downloads/e01b5c6c-9c6f-4476-b9b8-ecb4ee357f15/SATTC%20consent%20to%20Treat%20and%20Limits%20to%20Confident.pdf?ver=17775068147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493</Words>
  <Characters>5647</Characters>
  <Application>Microsoft Office Word</Application>
  <DocSecurity>0</DocSecurity>
  <Lines>182</Lines>
  <Paragraphs>191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 Buckman</cp:lastModifiedBy>
  <cp:revision>2</cp:revision>
  <dcterms:created xsi:type="dcterms:W3CDTF">2026-05-06T13:16:00Z</dcterms:created>
  <dcterms:modified xsi:type="dcterms:W3CDTF">2026-05-06T13:16:00Z</dcterms:modified>
  <cp:category/>
</cp:coreProperties>
</file>