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53A4" w14:textId="1F7A2963" w:rsidR="00081415" w:rsidRDefault="00534E36" w:rsidP="000814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B6D385" wp14:editId="17FCA3F3">
                <wp:simplePos x="0" y="0"/>
                <wp:positionH relativeFrom="margin">
                  <wp:posOffset>2824026</wp:posOffset>
                </wp:positionH>
                <wp:positionV relativeFrom="paragraph">
                  <wp:posOffset>3199584</wp:posOffset>
                </wp:positionV>
                <wp:extent cx="5143500" cy="2939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939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81118" w14:textId="151FC0F0" w:rsidR="00683AC8" w:rsidRPr="00FF59A6" w:rsidRDefault="00534E36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  <w:r w:rsidRPr="00FF59A6">
                              <w:rPr>
                                <w:rFonts w:ascii="Garamond" w:hAnsi="Garamond"/>
                                <w:sz w:val="28"/>
                              </w:rPr>
                              <w:t>How far does Priestley present Mr Birling as an unlikeable character?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6D3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2.35pt;margin-top:251.95pt;width:40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" fillcolor="white [3201]" stroked="f" strokeweight=".5pt">
                <v:textbox>
                  <w:txbxContent>
                    <w:p w14:paraId="56781118" w14:textId="151FC0F0" w:rsidR="00683AC8" w:rsidRPr="00FF59A6" w:rsidRDefault="00534E36">
                      <w:pPr>
                        <w:rPr>
                          <w:rFonts w:ascii="Garamond" w:hAnsi="Garamond"/>
                          <w:sz w:val="28"/>
                        </w:rPr>
                      </w:pPr>
                      <w:r w:rsidRPr="00FF59A6">
                        <w:rPr>
                          <w:rFonts w:ascii="Garamond" w:hAnsi="Garamond"/>
                          <w:sz w:val="28"/>
                        </w:rPr>
                        <w:t>How far does Priestley present Mr Birling as an unlikeable character?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40A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8DEC93" wp14:editId="39DA2594">
                <wp:simplePos x="0" y="0"/>
                <wp:positionH relativeFrom="margin">
                  <wp:posOffset>5126355</wp:posOffset>
                </wp:positionH>
                <wp:positionV relativeFrom="paragraph">
                  <wp:posOffset>0</wp:posOffset>
                </wp:positionV>
                <wp:extent cx="4963795" cy="3183890"/>
                <wp:effectExtent l="0" t="0" r="27305" b="1651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7DB7" w14:textId="367E5A7F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</w:t>
                            </w:r>
                            <w:r w:rsidR="00D25C75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 Two</w:t>
                            </w:r>
                          </w:p>
                          <w:p w14:paraId="5A4EB11E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17EDB6D3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158B77D9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22818657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E0B8E85" w14:textId="77777777" w:rsidR="00081415" w:rsidRPr="00E0202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7C677920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289EC7A6" w14:textId="77777777" w:rsidR="00081415" w:rsidRPr="00054342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E5DEB11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240FDB1F" w14:textId="77777777" w:rsidR="00081415" w:rsidRPr="0093703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0F55F621" w14:textId="77777777" w:rsidR="00081415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6FCFF680" w14:textId="77777777" w:rsidR="00081415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</w:t>
                            </w:r>
                          </w:p>
                          <w:p w14:paraId="18307447" w14:textId="77777777" w:rsidR="00081415" w:rsidRPr="0093703A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</w:p>
                          <w:p w14:paraId="15E9914D" w14:textId="77777777" w:rsidR="00081415" w:rsidRPr="0093703A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3C77F1B8" w14:textId="77777777" w:rsidR="00081415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6080E2E7" w14:textId="77777777" w:rsidR="00081415" w:rsidRPr="0093703A" w:rsidRDefault="00081415" w:rsidP="0008141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4B8DA790" w14:textId="77777777" w:rsidR="00081415" w:rsidRPr="002D2FB0" w:rsidRDefault="00081415" w:rsidP="000814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10609661" w14:textId="77777777" w:rsidR="00081415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6475CF64" w14:textId="77777777" w:rsidR="00081415" w:rsidRPr="007E7AEA" w:rsidRDefault="00081415" w:rsidP="0008141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</w:p>
                          <w:p w14:paraId="16A22C76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DEC93" id="Text Box 6" o:spid="_x0000_s1027" type="#_x0000_t202" style="position:absolute;margin-left:403.65pt;margin-top:0;width:390.85pt;height:25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" strokecolor="#00b050" strokeweight="2pt">
                <v:textbox>
                  <w:txbxContent>
                    <w:p w14:paraId="61677DB7" w14:textId="367E5A7F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</w:t>
                      </w:r>
                      <w:r w:rsidR="00D25C75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 Two</w:t>
                      </w:r>
                    </w:p>
                    <w:p w14:paraId="5A4EB11E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Quotation:          </w:t>
                      </w:r>
                    </w:p>
                    <w:p w14:paraId="17EDB6D3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158B77D9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22818657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5E0B8E85" w14:textId="77777777" w:rsidR="00081415" w:rsidRPr="00E0202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7C677920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289EC7A6" w14:textId="77777777" w:rsidR="00081415" w:rsidRPr="00054342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6E5DEB11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240FDB1F" w14:textId="77777777" w:rsidR="00081415" w:rsidRPr="0093703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Analysis: </w:t>
                      </w:r>
                    </w:p>
                    <w:p w14:paraId="0F55F621" w14:textId="77777777" w:rsidR="00081415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    </w:t>
                      </w:r>
                    </w:p>
                    <w:p w14:paraId="6FCFF680" w14:textId="77777777" w:rsidR="00081415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</w:t>
                      </w:r>
                    </w:p>
                    <w:p w14:paraId="18307447" w14:textId="77777777" w:rsidR="00081415" w:rsidRPr="0093703A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</w:p>
                    <w:p w14:paraId="15E9914D" w14:textId="77777777" w:rsidR="00081415" w:rsidRPr="0093703A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  </w:t>
                      </w:r>
                    </w:p>
                    <w:p w14:paraId="3C77F1B8" w14:textId="77777777" w:rsidR="00081415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 xml:space="preserve">   </w:t>
                      </w:r>
                    </w:p>
                    <w:p w14:paraId="6080E2E7" w14:textId="77777777" w:rsidR="00081415" w:rsidRPr="0093703A" w:rsidRDefault="00081415" w:rsidP="0008141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4B8DA790" w14:textId="77777777" w:rsidR="00081415" w:rsidRPr="002D2FB0" w:rsidRDefault="00081415" w:rsidP="000814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10609661" w14:textId="77777777" w:rsidR="00081415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6475CF64" w14:textId="77777777" w:rsidR="00081415" w:rsidRPr="007E7AEA" w:rsidRDefault="00081415" w:rsidP="0008141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</w:p>
                    <w:p w14:paraId="16A22C76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40A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C9030D" wp14:editId="4E211AF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5012690" cy="3183890"/>
                <wp:effectExtent l="0" t="0" r="16510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871" cy="3184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7F0DE" w14:textId="77777777" w:rsidR="000542C8" w:rsidRPr="0002406F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 One:</w:t>
                            </w:r>
                          </w:p>
                          <w:p w14:paraId="6EC06B55" w14:textId="77777777" w:rsidR="000542C8" w:rsidRPr="0002406F" w:rsidRDefault="000542C8" w:rsidP="000542C8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BIRLING: “I’m talking as a hard-headed, practical man of business.”</w:t>
                            </w:r>
                          </w:p>
                          <w:p w14:paraId="66E2914A" w14:textId="77777777" w:rsidR="000542C8" w:rsidRPr="0002406F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</w:pPr>
                          </w:p>
                          <w:p w14:paraId="1CECB600" w14:textId="77777777" w:rsidR="000542C8" w:rsidRPr="00A535E6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02406F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Birling behaves as the patriarch (male head of the family) should do – society would expect him to be a provider for his family, unemotional and rational, focussing on the family business and maintaining their wealth.</w:t>
                            </w:r>
                          </w:p>
                          <w:p w14:paraId="400EE9FA" w14:textId="77777777" w:rsidR="000542C8" w:rsidRPr="008C23B0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1732FCB5" w14:textId="77777777" w:rsidR="000542C8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</w:t>
                            </w:r>
                            <w:r w:rsidRPr="008C23B0"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  <w:t>:</w:t>
                            </w:r>
                            <w:r w:rsidRPr="008C23B0">
                              <w:rPr>
                                <w:rFonts w:ascii="Garamond" w:eastAsia="Times New Roman" w:hAnsi="Garamond" w:cs="Arial"/>
                                <w:color w:val="00808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Arial"/>
                                <w:color w:val="000000"/>
                                <w:lang w:eastAsia="en-GB"/>
                              </w:rPr>
                              <w:t>Alliteration; Language.</w:t>
                            </w:r>
                          </w:p>
                          <w:p w14:paraId="1A1559EA" w14:textId="77777777" w:rsidR="000542C8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4027154A" w14:textId="77777777" w:rsidR="000542C8" w:rsidRPr="008C23B0" w:rsidRDefault="000542C8" w:rsidP="000542C8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Analysis</w:t>
                            </w:r>
                            <w:r w:rsidRPr="008C23B0"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  <w:t xml:space="preserve">: </w:t>
                            </w:r>
                          </w:p>
                          <w:p w14:paraId="366882F6" w14:textId="77777777" w:rsidR="000542C8" w:rsidRPr="00FD7625" w:rsidRDefault="000542C8" w:rsidP="00054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The alliteration o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f the “h” sound in “hard-headed</w:t>
                            </w:r>
                            <w:r w:rsidRPr="00FD7625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”</w:t>
                            </w:r>
                            <w:r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>,</w:t>
                            </w:r>
                            <w:r w:rsidRPr="00FD7625"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  <w:t xml:space="preserve"> a phrase Birling repeats frequently, has a cold tone, mimicking his coldness towards his workers. </w:t>
                            </w:r>
                          </w:p>
                          <w:p w14:paraId="6274F15B" w14:textId="77777777" w:rsidR="000542C8" w:rsidRPr="00FD7625" w:rsidRDefault="000542C8" w:rsidP="00054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“Hard” shows Birling has no caring, compassionate side, and “headed” suggests he views things with his head, not heart – he has no sympathy.</w:t>
                            </w:r>
                          </w:p>
                          <w:p w14:paraId="3B5C0FAB" w14:textId="77777777" w:rsidR="000542C8" w:rsidRPr="00FD7625" w:rsidRDefault="000542C8" w:rsidP="000542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Birling is giving this speech at his daughter’s engagement, yet he does not identify himself as a father or husband, but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as a “practical man of business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”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.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His main role in society is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as a 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business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man</w:t>
                            </w: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>, not a father.</w:t>
                            </w:r>
                          </w:p>
                          <w:p w14:paraId="55D1E444" w14:textId="77777777" w:rsidR="000542C8" w:rsidRPr="0002406F" w:rsidRDefault="000542C8" w:rsidP="000542C8">
                            <w:pPr>
                              <w:spacing w:after="0" w:line="240" w:lineRule="auto"/>
                              <w:ind w:left="360"/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702EFA0A" w14:textId="77777777" w:rsidR="000542C8" w:rsidRDefault="000542C8" w:rsidP="000542C8">
                            <w:pP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>Family; Marriage; Society.</w:t>
                            </w:r>
                          </w:p>
                          <w:p w14:paraId="56EDC229" w14:textId="77777777" w:rsidR="00081415" w:rsidRPr="001B50B9" w:rsidRDefault="00081415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030D" id="Text Box 2" o:spid="_x0000_s1028" type="#_x0000_t202" style="position:absolute;margin-left:0;margin-top:.2pt;width:394.7pt;height:250.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" strokecolor="#00b050" strokeweight="2pt">
                <v:textbox>
                  <w:txbxContent>
                    <w:p w14:paraId="5E57F0DE" w14:textId="77777777" w:rsidR="000542C8" w:rsidRPr="0002406F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 One:</w:t>
                      </w:r>
                    </w:p>
                    <w:p w14:paraId="6EC06B55" w14:textId="77777777" w:rsidR="000542C8" w:rsidRPr="0002406F" w:rsidRDefault="000542C8" w:rsidP="000542C8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BIRLING: “I’m talking as a hard-headed, practical man of business.”</w:t>
                      </w:r>
                    </w:p>
                    <w:p w14:paraId="66E2914A" w14:textId="77777777" w:rsidR="000542C8" w:rsidRPr="0002406F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</w:pPr>
                    </w:p>
                    <w:p w14:paraId="1CECB600" w14:textId="77777777" w:rsidR="000542C8" w:rsidRPr="00A535E6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02406F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Birling behaves as the patriarch (male head of the family) should do – society would expect him to be a provider for his family, unemotional and rational, focussing on the family business and maintaining their wealth.</w:t>
                      </w:r>
                    </w:p>
                    <w:p w14:paraId="400EE9FA" w14:textId="77777777" w:rsidR="000542C8" w:rsidRPr="008C23B0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1732FCB5" w14:textId="77777777" w:rsidR="000542C8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</w:t>
                      </w:r>
                      <w:r w:rsidRPr="008C23B0"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  <w:t>:</w:t>
                      </w:r>
                      <w:r w:rsidRPr="008C23B0">
                        <w:rPr>
                          <w:rFonts w:ascii="Garamond" w:eastAsia="Times New Roman" w:hAnsi="Garamond" w:cs="Arial"/>
                          <w:color w:val="008080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Arial"/>
                          <w:color w:val="000000"/>
                          <w:lang w:eastAsia="en-GB"/>
                        </w:rPr>
                        <w:t>Alliteration; Language.</w:t>
                      </w:r>
                    </w:p>
                    <w:p w14:paraId="1A1559EA" w14:textId="77777777" w:rsidR="000542C8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4027154A" w14:textId="77777777" w:rsidR="000542C8" w:rsidRPr="008C23B0" w:rsidRDefault="000542C8" w:rsidP="000542C8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Analysis</w:t>
                      </w:r>
                      <w:r w:rsidRPr="008C23B0"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  <w:t xml:space="preserve">: </w:t>
                      </w:r>
                    </w:p>
                    <w:p w14:paraId="366882F6" w14:textId="77777777" w:rsidR="000542C8" w:rsidRPr="00FD7625" w:rsidRDefault="000542C8" w:rsidP="000542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Arial"/>
                          <w:lang w:eastAsia="en-GB"/>
                        </w:rPr>
                        <w:t>The alliteration o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f the “h” sound in “hard-headed</w:t>
                      </w:r>
                      <w:r w:rsidRPr="00FD7625">
                        <w:rPr>
                          <w:rFonts w:ascii="Garamond" w:eastAsia="Times New Roman" w:hAnsi="Garamond" w:cs="Arial"/>
                          <w:lang w:eastAsia="en-GB"/>
                        </w:rPr>
                        <w:t>”</w:t>
                      </w:r>
                      <w:r>
                        <w:rPr>
                          <w:rFonts w:ascii="Garamond" w:eastAsia="Times New Roman" w:hAnsi="Garamond" w:cs="Arial"/>
                          <w:lang w:eastAsia="en-GB"/>
                        </w:rPr>
                        <w:t>,</w:t>
                      </w:r>
                      <w:r w:rsidRPr="00FD7625">
                        <w:rPr>
                          <w:rFonts w:ascii="Garamond" w:eastAsia="Times New Roman" w:hAnsi="Garamond" w:cs="Arial"/>
                          <w:lang w:eastAsia="en-GB"/>
                        </w:rPr>
                        <w:t xml:space="preserve"> a phrase Birling repeats frequently, has a cold tone, mimicking his coldness towards his workers. </w:t>
                      </w:r>
                    </w:p>
                    <w:p w14:paraId="6274F15B" w14:textId="77777777" w:rsidR="000542C8" w:rsidRPr="00FD7625" w:rsidRDefault="000542C8" w:rsidP="000542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>“Hard” shows Birling has no caring, compassionate side, and “headed” suggests he views things with his head, not heart – he has no sympathy.</w:t>
                      </w:r>
                    </w:p>
                    <w:p w14:paraId="3B5C0FAB" w14:textId="77777777" w:rsidR="000542C8" w:rsidRPr="00FD7625" w:rsidRDefault="000542C8" w:rsidP="000542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Birling is giving this speech at his daughter’s engagement, yet he does not identify himself as a father or husband, but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as a “practical man of business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>”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.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His main role in society is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as a 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>business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>man</w:t>
                      </w: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>, not a father.</w:t>
                      </w:r>
                    </w:p>
                    <w:p w14:paraId="55D1E444" w14:textId="77777777" w:rsidR="000542C8" w:rsidRPr="0002406F" w:rsidRDefault="000542C8" w:rsidP="000542C8">
                      <w:pPr>
                        <w:spacing w:after="0" w:line="240" w:lineRule="auto"/>
                        <w:ind w:left="360"/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</w:pPr>
                    </w:p>
                    <w:p w14:paraId="702EFA0A" w14:textId="77777777" w:rsidR="000542C8" w:rsidRDefault="000542C8" w:rsidP="000542C8">
                      <w:pP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>Family; Marriage; Society.</w:t>
                      </w:r>
                    </w:p>
                    <w:p w14:paraId="56EDC229" w14:textId="77777777" w:rsidR="00081415" w:rsidRPr="001B50B9" w:rsidRDefault="00081415" w:rsidP="00081415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87542B4" w14:textId="4ED1E557" w:rsidR="00D016D9" w:rsidRDefault="00D21EE3" w:rsidP="00081415">
      <w:pPr>
        <w:rPr>
          <w:rFonts w:ascii="Garamond" w:hAnsi="Garamond"/>
          <w:b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B2B30C" wp14:editId="7E76D8BA">
                <wp:simplePos x="0" y="0"/>
                <wp:positionH relativeFrom="margin">
                  <wp:posOffset>-816</wp:posOffset>
                </wp:positionH>
                <wp:positionV relativeFrom="paragraph">
                  <wp:posOffset>10614</wp:posOffset>
                </wp:positionV>
                <wp:extent cx="5012690" cy="3183890"/>
                <wp:effectExtent l="0" t="0" r="1651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2690" cy="318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C4EB1" w14:textId="77777777" w:rsidR="007053E4" w:rsidRPr="0002406F" w:rsidRDefault="007053E4" w:rsidP="007053E4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 Three:</w:t>
                            </w:r>
                          </w:p>
                          <w:p w14:paraId="0A83C7D4" w14:textId="77777777" w:rsidR="007053E4" w:rsidRPr="0002406F" w:rsidRDefault="007053E4" w:rsidP="007053E4">
                            <w:pPr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02406F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BIRLING: “Now look at the pair of them – the famous younger generation who know it all. And they can’t even take a joke.”</w:t>
                            </w:r>
                          </w:p>
                          <w:p w14:paraId="1EC8134C" w14:textId="77777777" w:rsidR="00932602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C991037" w14:textId="77777777" w:rsidR="00932602" w:rsidRPr="00E02025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1710045F" w14:textId="77777777" w:rsidR="00932602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5C8463B0" w14:textId="77777777" w:rsidR="00932602" w:rsidRPr="00054342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DF13319" w14:textId="77777777" w:rsidR="00932602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09422FF6" w14:textId="77777777" w:rsidR="00932602" w:rsidRPr="0093703A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4B3696BB" w14:textId="77777777" w:rsidR="00932602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08415DC7" w14:textId="77777777" w:rsidR="00932602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</w:t>
                            </w:r>
                          </w:p>
                          <w:p w14:paraId="4EB7469A" w14:textId="77777777" w:rsidR="00932602" w:rsidRPr="0093703A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</w:p>
                          <w:p w14:paraId="681C5B55" w14:textId="77777777" w:rsidR="00932602" w:rsidRPr="0093703A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22E8C078" w14:textId="77777777" w:rsidR="00932602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562C8758" w14:textId="77777777" w:rsidR="00932602" w:rsidRPr="0093703A" w:rsidRDefault="00932602" w:rsidP="00932602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05512D50" w14:textId="77777777" w:rsidR="00932602" w:rsidRPr="002D2FB0" w:rsidRDefault="00932602" w:rsidP="009326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4C3CF8A6" w14:textId="63B695FE" w:rsidR="00932602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6EA52449" w14:textId="77777777" w:rsidR="00265BC7" w:rsidRDefault="00265BC7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5A1BCDF2" w14:textId="77777777" w:rsidR="00932602" w:rsidRPr="007E7AEA" w:rsidRDefault="00932602" w:rsidP="00932602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</w:p>
                          <w:p w14:paraId="77B8AE5A" w14:textId="77777777" w:rsidR="00932602" w:rsidRPr="001B50B9" w:rsidRDefault="00932602" w:rsidP="00932602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B30C" id="Text Box 3" o:spid="_x0000_s1029" type="#_x0000_t202" style="position:absolute;margin-left:-.05pt;margin-top:.85pt;width:394.7pt;height:25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" strokecolor="#00b050" strokeweight="2pt">
                <v:textbox>
                  <w:txbxContent>
                    <w:p w14:paraId="5F9C4EB1" w14:textId="77777777" w:rsidR="007053E4" w:rsidRPr="0002406F" w:rsidRDefault="007053E4" w:rsidP="007053E4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 Three:</w:t>
                      </w:r>
                    </w:p>
                    <w:p w14:paraId="0A83C7D4" w14:textId="77777777" w:rsidR="007053E4" w:rsidRPr="0002406F" w:rsidRDefault="007053E4" w:rsidP="007053E4">
                      <w:pPr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02406F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BIRLING: “Now look at the pair of them – the famous younger generation who know it all. And they can’t even take a joke.”</w:t>
                      </w:r>
                    </w:p>
                    <w:p w14:paraId="1EC8134C" w14:textId="77777777" w:rsidR="00932602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7C991037" w14:textId="77777777" w:rsidR="00932602" w:rsidRPr="00E02025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1710045F" w14:textId="77777777" w:rsidR="00932602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5C8463B0" w14:textId="77777777" w:rsidR="00932602" w:rsidRPr="00054342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5DF13319" w14:textId="77777777" w:rsidR="00932602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09422FF6" w14:textId="77777777" w:rsidR="00932602" w:rsidRPr="0093703A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Analysis: </w:t>
                      </w:r>
                    </w:p>
                    <w:p w14:paraId="4B3696BB" w14:textId="77777777" w:rsidR="00932602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    </w:t>
                      </w:r>
                    </w:p>
                    <w:p w14:paraId="08415DC7" w14:textId="77777777" w:rsidR="00932602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</w:t>
                      </w:r>
                    </w:p>
                    <w:p w14:paraId="4EB7469A" w14:textId="77777777" w:rsidR="00932602" w:rsidRPr="0093703A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</w:p>
                    <w:p w14:paraId="681C5B55" w14:textId="77777777" w:rsidR="00932602" w:rsidRPr="0093703A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  </w:t>
                      </w:r>
                    </w:p>
                    <w:p w14:paraId="22E8C078" w14:textId="77777777" w:rsidR="00932602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 xml:space="preserve">   </w:t>
                      </w:r>
                    </w:p>
                    <w:p w14:paraId="562C8758" w14:textId="77777777" w:rsidR="00932602" w:rsidRPr="0093703A" w:rsidRDefault="00932602" w:rsidP="00932602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05512D50" w14:textId="77777777" w:rsidR="00932602" w:rsidRPr="002D2FB0" w:rsidRDefault="00932602" w:rsidP="009326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4C3CF8A6" w14:textId="63B695FE" w:rsidR="00932602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6EA52449" w14:textId="77777777" w:rsidR="00265BC7" w:rsidRDefault="00265BC7" w:rsidP="00932602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5A1BCDF2" w14:textId="77777777" w:rsidR="00932602" w:rsidRPr="007E7AEA" w:rsidRDefault="00932602" w:rsidP="00932602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</w:p>
                    <w:p w14:paraId="77B8AE5A" w14:textId="77777777" w:rsidR="00932602" w:rsidRPr="001B50B9" w:rsidRDefault="00932602" w:rsidP="00932602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FF5C820" wp14:editId="0355906B">
                <wp:simplePos x="0" y="0"/>
                <wp:positionH relativeFrom="page">
                  <wp:posOffset>5486400</wp:posOffset>
                </wp:positionH>
                <wp:positionV relativeFrom="page">
                  <wp:posOffset>3902529</wp:posOffset>
                </wp:positionV>
                <wp:extent cx="4963795" cy="3184071"/>
                <wp:effectExtent l="0" t="0" r="27305" b="16510"/>
                <wp:wrapTight wrapText="bothSides">
                  <wp:wrapPolygon edited="0">
                    <wp:start x="0" y="0"/>
                    <wp:lineTo x="0" y="21583"/>
                    <wp:lineTo x="21636" y="21583"/>
                    <wp:lineTo x="21636" y="0"/>
                    <wp:lineTo x="0" y="0"/>
                  </wp:wrapPolygon>
                </wp:wrapTight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3184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6412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Act</w:t>
                            </w:r>
                          </w:p>
                          <w:p w14:paraId="188B0399" w14:textId="77777777" w:rsidR="007440A5" w:rsidRPr="0093703A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Quotation:          </w:t>
                            </w:r>
                          </w:p>
                          <w:p w14:paraId="2815BE21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652BBEA5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</w:p>
                          <w:p w14:paraId="5A3DA4CB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Interpretation: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9E7EC52" w14:textId="77777777" w:rsidR="007440A5" w:rsidRPr="00E0202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</w:p>
                          <w:p w14:paraId="2161C0D6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3E2F8A50" w14:textId="77777777" w:rsidR="007440A5" w:rsidRPr="00054342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>Techniques:</w:t>
                            </w:r>
                            <w:r w:rsidRPr="0093703A">
                              <w:rPr>
                                <w:rFonts w:ascii="Garamond" w:eastAsia="Times New Roman" w:hAnsi="Garamond" w:cs="Arial"/>
                                <w:color w:val="00B05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0D9FE39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70C0"/>
                                <w:lang w:eastAsia="en-GB"/>
                              </w:rPr>
                            </w:pPr>
                          </w:p>
                          <w:p w14:paraId="05FA9E69" w14:textId="77777777" w:rsidR="007440A5" w:rsidRPr="0093703A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Arial"/>
                                <w:b/>
                                <w:color w:val="00B050"/>
                                <w:lang w:eastAsia="en-GB"/>
                              </w:rPr>
                              <w:t xml:space="preserve">Analysis: </w:t>
                            </w:r>
                          </w:p>
                          <w:p w14:paraId="7A9BE37B" w14:textId="77777777" w:rsidR="007440A5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    </w:t>
                            </w:r>
                          </w:p>
                          <w:p w14:paraId="4972CE82" w14:textId="77777777" w:rsidR="007440A5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  <w:t xml:space="preserve">  </w:t>
                            </w:r>
                          </w:p>
                          <w:p w14:paraId="54692F8F" w14:textId="77777777" w:rsidR="007440A5" w:rsidRPr="0093703A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lang w:eastAsia="en-GB"/>
                              </w:rPr>
                            </w:pPr>
                          </w:p>
                          <w:p w14:paraId="62527516" w14:textId="77777777" w:rsidR="007440A5" w:rsidRPr="0093703A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 w:rsidRPr="00FD7625"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1062BBAA" w14:textId="77777777" w:rsidR="007440A5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36C62719" w14:textId="77777777" w:rsidR="007440A5" w:rsidRPr="0093703A" w:rsidRDefault="007440A5" w:rsidP="007440A5">
                            <w:pPr>
                              <w:pStyle w:val="ListParagraph"/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6AD6C8B7" w14:textId="77777777" w:rsidR="007440A5" w:rsidRPr="002D2FB0" w:rsidRDefault="007440A5" w:rsidP="007440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color w:val="000000"/>
                                <w:lang w:eastAsia="en-GB"/>
                              </w:rPr>
                            </w:pPr>
                          </w:p>
                          <w:p w14:paraId="4CDEFE21" w14:textId="77777777" w:rsidR="007440A5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b/>
                                <w:color w:val="008080"/>
                                <w:lang w:eastAsia="en-GB"/>
                              </w:rPr>
                            </w:pPr>
                          </w:p>
                          <w:p w14:paraId="140D3BEE" w14:textId="77777777" w:rsidR="007440A5" w:rsidRPr="007E7AEA" w:rsidRDefault="007440A5" w:rsidP="007440A5">
                            <w:pPr>
                              <w:spacing w:after="0" w:line="240" w:lineRule="auto"/>
                              <w:rPr>
                                <w:rFonts w:ascii="Garamond" w:eastAsia="Times New Roman" w:hAnsi="Garamond" w:cs="Times New Roman"/>
                                <w:lang w:eastAsia="en-GB"/>
                              </w:rPr>
                            </w:pPr>
                            <w:r w:rsidRPr="0093703A">
                              <w:rPr>
                                <w:rFonts w:ascii="Garamond" w:eastAsia="Times New Roman" w:hAnsi="Garamond" w:cs="Times New Roman"/>
                                <w:b/>
                                <w:color w:val="00B050"/>
                                <w:lang w:eastAsia="en-GB"/>
                              </w:rPr>
                              <w:t>Use in essays on…</w:t>
                            </w:r>
                          </w:p>
                          <w:p w14:paraId="12EBF34C" w14:textId="7FE36C48" w:rsidR="00081415" w:rsidRPr="001B50B9" w:rsidRDefault="00C437ED" w:rsidP="00081415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Floating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5C820" id="Text Box 8" o:spid="_x0000_s1030" type="#_x0000_t202" style="position:absolute;margin-left:6in;margin-top:307.3pt;width:390.85pt;height:250.7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" strokecolor="#00b050" strokeweight="2pt">
                <v:textbox>
                  <w:txbxContent>
                    <w:p w14:paraId="628B6412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Act</w:t>
                      </w:r>
                    </w:p>
                    <w:p w14:paraId="188B0399" w14:textId="77777777" w:rsidR="007440A5" w:rsidRPr="0093703A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Quotation:          </w:t>
                      </w:r>
                    </w:p>
                    <w:p w14:paraId="2815BE21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652BBEA5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</w:p>
                    <w:p w14:paraId="5A3DA4CB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Interpretation: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09E7EC52" w14:textId="77777777" w:rsidR="007440A5" w:rsidRPr="00E0202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</w:p>
                    <w:p w14:paraId="2161C0D6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8080"/>
                          <w:lang w:eastAsia="en-GB"/>
                        </w:rPr>
                      </w:pPr>
                    </w:p>
                    <w:p w14:paraId="3E2F8A50" w14:textId="77777777" w:rsidR="007440A5" w:rsidRPr="00054342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>Techniques:</w:t>
                      </w:r>
                      <w:r w:rsidRPr="0093703A">
                        <w:rPr>
                          <w:rFonts w:ascii="Garamond" w:eastAsia="Times New Roman" w:hAnsi="Garamond" w:cs="Arial"/>
                          <w:color w:val="00B050"/>
                          <w:lang w:eastAsia="en-GB"/>
                        </w:rPr>
                        <w:t xml:space="preserve"> </w:t>
                      </w:r>
                    </w:p>
                    <w:p w14:paraId="40D9FE39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70C0"/>
                          <w:lang w:eastAsia="en-GB"/>
                        </w:rPr>
                      </w:pPr>
                    </w:p>
                    <w:p w14:paraId="05FA9E69" w14:textId="77777777" w:rsidR="007440A5" w:rsidRPr="0093703A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Arial"/>
                          <w:b/>
                          <w:color w:val="00B050"/>
                          <w:lang w:eastAsia="en-GB"/>
                        </w:rPr>
                        <w:t xml:space="preserve">Analysis: </w:t>
                      </w:r>
                    </w:p>
                    <w:p w14:paraId="7A9BE37B" w14:textId="77777777" w:rsidR="007440A5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    </w:t>
                      </w:r>
                    </w:p>
                    <w:p w14:paraId="4972CE82" w14:textId="77777777" w:rsidR="007440A5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  <w:t xml:space="preserve">  </w:t>
                      </w:r>
                    </w:p>
                    <w:p w14:paraId="54692F8F" w14:textId="77777777" w:rsidR="007440A5" w:rsidRPr="0093703A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lang w:eastAsia="en-GB"/>
                        </w:rPr>
                      </w:pPr>
                    </w:p>
                    <w:p w14:paraId="62527516" w14:textId="77777777" w:rsidR="007440A5" w:rsidRPr="0093703A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 w:rsidRPr="00FD7625"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lang w:eastAsia="en-GB"/>
                        </w:rPr>
                        <w:t xml:space="preserve">   </w:t>
                      </w:r>
                    </w:p>
                    <w:p w14:paraId="1062BBAA" w14:textId="77777777" w:rsidR="007440A5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  <w:t xml:space="preserve">   </w:t>
                      </w:r>
                    </w:p>
                    <w:p w14:paraId="36C62719" w14:textId="77777777" w:rsidR="007440A5" w:rsidRPr="0093703A" w:rsidRDefault="007440A5" w:rsidP="007440A5">
                      <w:pPr>
                        <w:pStyle w:val="ListParagraph"/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6AD6C8B7" w14:textId="77777777" w:rsidR="007440A5" w:rsidRPr="002D2FB0" w:rsidRDefault="007440A5" w:rsidP="007440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Garamond" w:eastAsia="Times New Roman" w:hAnsi="Garamond" w:cs="Times New Roman"/>
                          <w:color w:val="000000"/>
                          <w:lang w:eastAsia="en-GB"/>
                        </w:rPr>
                      </w:pPr>
                    </w:p>
                    <w:p w14:paraId="4CDEFE21" w14:textId="77777777" w:rsidR="007440A5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b/>
                          <w:color w:val="008080"/>
                          <w:lang w:eastAsia="en-GB"/>
                        </w:rPr>
                      </w:pPr>
                    </w:p>
                    <w:p w14:paraId="140D3BEE" w14:textId="77777777" w:rsidR="007440A5" w:rsidRPr="007E7AEA" w:rsidRDefault="007440A5" w:rsidP="007440A5">
                      <w:pPr>
                        <w:spacing w:after="0" w:line="240" w:lineRule="auto"/>
                        <w:rPr>
                          <w:rFonts w:ascii="Garamond" w:eastAsia="Times New Roman" w:hAnsi="Garamond" w:cs="Times New Roman"/>
                          <w:lang w:eastAsia="en-GB"/>
                        </w:rPr>
                      </w:pPr>
                      <w:r w:rsidRPr="0093703A">
                        <w:rPr>
                          <w:rFonts w:ascii="Garamond" w:eastAsia="Times New Roman" w:hAnsi="Garamond" w:cs="Times New Roman"/>
                          <w:b/>
                          <w:color w:val="00B050"/>
                          <w:lang w:eastAsia="en-GB"/>
                        </w:rPr>
                        <w:t>Use in essays on…</w:t>
                      </w:r>
                    </w:p>
                    <w:p w14:paraId="12EBF34C" w14:textId="7FE36C48" w:rsidR="00081415" w:rsidRPr="001B50B9" w:rsidRDefault="00C437ED" w:rsidP="00081415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Floating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49339984" w14:textId="1BD53DD8" w:rsidR="00D016D9" w:rsidRDefault="00D016D9" w:rsidP="00081415">
      <w:pPr>
        <w:rPr>
          <w:rFonts w:ascii="Garamond" w:hAnsi="Garamond"/>
          <w:b/>
          <w:sz w:val="28"/>
        </w:rPr>
      </w:pPr>
    </w:p>
    <w:p w14:paraId="0957D969" w14:textId="6883B315" w:rsidR="00D016D9" w:rsidRDefault="00D016D9" w:rsidP="00081415">
      <w:pPr>
        <w:rPr>
          <w:rFonts w:ascii="Garamond" w:hAnsi="Garamond"/>
          <w:b/>
          <w:sz w:val="28"/>
        </w:rPr>
      </w:pPr>
    </w:p>
    <w:p w14:paraId="439D4AE5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64C57F55" w14:textId="2A9EDF71" w:rsidR="00D016D9" w:rsidRDefault="00D016D9" w:rsidP="00081415">
      <w:pPr>
        <w:rPr>
          <w:rFonts w:ascii="Garamond" w:hAnsi="Garamond"/>
          <w:b/>
          <w:sz w:val="28"/>
        </w:rPr>
      </w:pPr>
    </w:p>
    <w:p w14:paraId="6EB0F7D5" w14:textId="27443A0F" w:rsidR="00D016D9" w:rsidRDefault="00D016D9" w:rsidP="00081415">
      <w:pPr>
        <w:rPr>
          <w:rFonts w:ascii="Garamond" w:hAnsi="Garamond"/>
          <w:b/>
          <w:sz w:val="28"/>
        </w:rPr>
      </w:pPr>
    </w:p>
    <w:p w14:paraId="7B4AAEFA" w14:textId="6E695984" w:rsidR="00D016D9" w:rsidRDefault="00D016D9" w:rsidP="00081415">
      <w:pPr>
        <w:rPr>
          <w:rFonts w:ascii="Garamond" w:hAnsi="Garamond"/>
          <w:b/>
          <w:sz w:val="28"/>
        </w:rPr>
      </w:pPr>
    </w:p>
    <w:p w14:paraId="3B033E10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30865BE4" w14:textId="77777777" w:rsidR="00D016D9" w:rsidRDefault="00D016D9" w:rsidP="00081415">
      <w:pPr>
        <w:rPr>
          <w:rFonts w:ascii="Garamond" w:hAnsi="Garamond"/>
          <w:b/>
          <w:sz w:val="28"/>
        </w:rPr>
      </w:pPr>
    </w:p>
    <w:p w14:paraId="713B9683" w14:textId="13F66995" w:rsidR="00081415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>Teacher notes:</w:t>
      </w:r>
    </w:p>
    <w:p w14:paraId="160A1AED" w14:textId="15FC1A88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This activity is designed to be used in class or set as a homework, to help pupils develop their AO1 and AO2 skills.</w:t>
      </w:r>
    </w:p>
    <w:p w14:paraId="1CB7A8FA" w14:textId="1DAF6094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The resource is designed so that it </w:t>
      </w:r>
      <w:r>
        <w:rPr>
          <w:rFonts w:ascii="Garamond" w:hAnsi="Garamond"/>
          <w:sz w:val="28"/>
        </w:rPr>
        <w:t>can</w:t>
      </w:r>
      <w:r w:rsidRPr="0000340A">
        <w:rPr>
          <w:rFonts w:ascii="Garamond" w:hAnsi="Garamond"/>
          <w:sz w:val="28"/>
        </w:rPr>
        <w:t xml:space="preserve"> be revisited multiple times, or used by pupils independently, to develop a bank of revision </w:t>
      </w:r>
      <w:r w:rsidR="00F514BF">
        <w:rPr>
          <w:rFonts w:ascii="Garamond" w:hAnsi="Garamond"/>
          <w:sz w:val="28"/>
        </w:rPr>
        <w:t xml:space="preserve">essay plans </w:t>
      </w:r>
      <w:bookmarkStart w:id="0" w:name="_GoBack"/>
      <w:bookmarkEnd w:id="0"/>
      <w:r w:rsidRPr="0000340A">
        <w:rPr>
          <w:rFonts w:ascii="Garamond" w:hAnsi="Garamond"/>
          <w:sz w:val="28"/>
        </w:rPr>
        <w:t>over time.</w:t>
      </w:r>
    </w:p>
    <w:p w14:paraId="4CDA3F1C" w14:textId="04AEDD49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One example quotation is provided, taken from The Quotation Bank®: An Inspector Calls. </w:t>
      </w:r>
      <w:r w:rsidR="002959E0">
        <w:rPr>
          <w:rFonts w:ascii="Garamond" w:hAnsi="Garamond"/>
          <w:sz w:val="28"/>
        </w:rPr>
        <w:t xml:space="preserve">Three further </w:t>
      </w:r>
      <w:r w:rsidR="00B87C1D">
        <w:rPr>
          <w:rFonts w:ascii="Garamond" w:hAnsi="Garamond"/>
          <w:sz w:val="28"/>
        </w:rPr>
        <w:t xml:space="preserve">The </w:t>
      </w:r>
      <w:r w:rsidR="002959E0">
        <w:rPr>
          <w:rFonts w:ascii="Garamond" w:hAnsi="Garamond"/>
          <w:sz w:val="28"/>
        </w:rPr>
        <w:t>Quotation Bank template boxes are provided for analysis</w:t>
      </w:r>
      <w:r w:rsidR="00B87C1D">
        <w:rPr>
          <w:rFonts w:ascii="Garamond" w:hAnsi="Garamond"/>
          <w:sz w:val="28"/>
        </w:rPr>
        <w:t>, with reference to Act Two and Act Three</w:t>
      </w:r>
      <w:r w:rsidR="007F49AB">
        <w:rPr>
          <w:rFonts w:ascii="Garamond" w:hAnsi="Garamond"/>
          <w:sz w:val="28"/>
        </w:rPr>
        <w:t>,</w:t>
      </w:r>
      <w:r w:rsidR="00B87C1D">
        <w:rPr>
          <w:rFonts w:ascii="Garamond" w:hAnsi="Garamond"/>
          <w:sz w:val="28"/>
        </w:rPr>
        <w:t xml:space="preserve"> </w:t>
      </w:r>
      <w:proofErr w:type="gramStart"/>
      <w:r w:rsidR="00B87C1D">
        <w:rPr>
          <w:rFonts w:ascii="Garamond" w:hAnsi="Garamond"/>
          <w:sz w:val="28"/>
        </w:rPr>
        <w:t>so as to</w:t>
      </w:r>
      <w:proofErr w:type="gramEnd"/>
      <w:r w:rsidR="00B87C1D">
        <w:rPr>
          <w:rFonts w:ascii="Garamond" w:hAnsi="Garamond"/>
          <w:sz w:val="28"/>
        </w:rPr>
        <w:t xml:space="preserve"> provide whole text coverage with quotations.</w:t>
      </w:r>
      <w:r w:rsidR="00CE68D0">
        <w:rPr>
          <w:rFonts w:ascii="Garamond" w:hAnsi="Garamond"/>
          <w:sz w:val="28"/>
        </w:rPr>
        <w:t xml:space="preserve"> The </w:t>
      </w:r>
      <w:r w:rsidR="007F49AB">
        <w:rPr>
          <w:rFonts w:ascii="Garamond" w:hAnsi="Garamond"/>
          <w:sz w:val="28"/>
        </w:rPr>
        <w:t>f</w:t>
      </w:r>
      <w:r w:rsidR="00CE68D0">
        <w:rPr>
          <w:rFonts w:ascii="Garamond" w:hAnsi="Garamond"/>
          <w:sz w:val="28"/>
        </w:rPr>
        <w:t>ourth box allows pupils to pick a quotation from anywhere in the play.</w:t>
      </w:r>
    </w:p>
    <w:p w14:paraId="6BB3E92A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When using this resource with your pupils you may wish to give pupils two copies of the handout, so you can model the analysis with the whole class, using a quotation you have chosen, before they work independently.</w:t>
      </w:r>
    </w:p>
    <w:p w14:paraId="7004E1D9" w14:textId="77777777" w:rsidR="00081415" w:rsidRPr="0000340A" w:rsidRDefault="00081415" w:rsidP="00081415">
      <w:pPr>
        <w:rPr>
          <w:rFonts w:ascii="Garamond" w:hAnsi="Garamond"/>
          <w:i/>
          <w:sz w:val="28"/>
        </w:rPr>
      </w:pPr>
      <w:r w:rsidRPr="0000340A">
        <w:rPr>
          <w:rFonts w:ascii="Garamond" w:hAnsi="Garamond"/>
          <w:i/>
          <w:sz w:val="28"/>
        </w:rPr>
        <w:t>Differentiated use of the resource:</w:t>
      </w:r>
    </w:p>
    <w:p w14:paraId="065929C3" w14:textId="77777777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>You may wish to give pupils a list of quotations to analyse, particularly where you feel pupils would benefit from more structure and support. The template is provided as a Word document so you can type directly into the document to provide more scaffolding and support if you feel your pupils would benefit from this.</w:t>
      </w:r>
    </w:p>
    <w:p w14:paraId="25A3CEEB" w14:textId="1F1D5A06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You may wish to give pupils </w:t>
      </w:r>
      <w:r w:rsidR="00E60C0B">
        <w:rPr>
          <w:rFonts w:ascii="Garamond" w:hAnsi="Garamond"/>
          <w:sz w:val="28"/>
        </w:rPr>
        <w:t xml:space="preserve">instructions that involve developing one point in </w:t>
      </w:r>
      <w:proofErr w:type="gramStart"/>
      <w:r w:rsidR="00E60C0B">
        <w:rPr>
          <w:rFonts w:ascii="Garamond" w:hAnsi="Garamond"/>
          <w:sz w:val="28"/>
        </w:rPr>
        <w:t>great detail</w:t>
      </w:r>
      <w:proofErr w:type="gramEnd"/>
      <w:r w:rsidRPr="0000340A">
        <w:rPr>
          <w:rFonts w:ascii="Garamond" w:hAnsi="Garamond"/>
          <w:sz w:val="28"/>
        </w:rPr>
        <w:t>.</w:t>
      </w:r>
      <w:r w:rsidR="00E60C0B">
        <w:rPr>
          <w:rFonts w:ascii="Garamond" w:hAnsi="Garamond"/>
          <w:sz w:val="28"/>
        </w:rPr>
        <w:t xml:space="preserve"> Alternatively, </w:t>
      </w:r>
      <w:r w:rsidR="00762FFF">
        <w:rPr>
          <w:rFonts w:ascii="Garamond" w:hAnsi="Garamond"/>
          <w:sz w:val="28"/>
        </w:rPr>
        <w:t>pupils could find quotations that provide an alternative interpretation from a previous point.</w:t>
      </w:r>
      <w:r w:rsidRPr="0000340A">
        <w:rPr>
          <w:rFonts w:ascii="Garamond" w:hAnsi="Garamond"/>
          <w:sz w:val="28"/>
        </w:rPr>
        <w:t xml:space="preserve"> This is an activity that could work well in groups.</w:t>
      </w:r>
    </w:p>
    <w:p w14:paraId="1845E63D" w14:textId="14104E4B" w:rsidR="00081415" w:rsidRPr="0000340A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To stretch pupils, and with your most able pupils, you may ask them to select the quotations </w:t>
      </w:r>
      <w:r w:rsidR="009B054D">
        <w:rPr>
          <w:rFonts w:ascii="Garamond" w:hAnsi="Garamond"/>
          <w:sz w:val="28"/>
        </w:rPr>
        <w:t>involving stage directions to show awareness of dramatic effects.</w:t>
      </w:r>
    </w:p>
    <w:p w14:paraId="4C9E75F8" w14:textId="333F4AEE" w:rsidR="00081415" w:rsidRDefault="00081415" w:rsidP="00081415">
      <w:pPr>
        <w:rPr>
          <w:rFonts w:ascii="Garamond" w:hAnsi="Garamond"/>
          <w:sz w:val="28"/>
        </w:rPr>
      </w:pPr>
      <w:r w:rsidRPr="0000340A">
        <w:rPr>
          <w:rFonts w:ascii="Garamond" w:hAnsi="Garamond"/>
          <w:sz w:val="28"/>
        </w:rPr>
        <w:t xml:space="preserve">Pupil-focused instructions are provided </w:t>
      </w:r>
      <w:r>
        <w:rPr>
          <w:rFonts w:ascii="Garamond" w:hAnsi="Garamond"/>
          <w:sz w:val="28"/>
        </w:rPr>
        <w:t xml:space="preserve">below </w:t>
      </w:r>
      <w:r w:rsidRPr="0000340A">
        <w:rPr>
          <w:rFonts w:ascii="Garamond" w:hAnsi="Garamond"/>
          <w:sz w:val="28"/>
        </w:rPr>
        <w:t>if you wish to use this resource for homework or independent learning.</w:t>
      </w:r>
    </w:p>
    <w:p w14:paraId="1E2A52D2" w14:textId="58B80B45" w:rsidR="003F5060" w:rsidRDefault="003F5060" w:rsidP="00081415">
      <w:pPr>
        <w:rPr>
          <w:rFonts w:ascii="Garamond" w:hAnsi="Garamond"/>
          <w:sz w:val="28"/>
        </w:rPr>
      </w:pPr>
    </w:p>
    <w:p w14:paraId="27952CC3" w14:textId="2BDC49EF" w:rsidR="003F5060" w:rsidRDefault="003F5060" w:rsidP="00081415">
      <w:pPr>
        <w:rPr>
          <w:rFonts w:ascii="Garamond" w:hAnsi="Garamond"/>
          <w:i/>
          <w:sz w:val="28"/>
        </w:rPr>
      </w:pPr>
      <w:r>
        <w:rPr>
          <w:rFonts w:ascii="Garamond" w:hAnsi="Garamond"/>
          <w:i/>
          <w:sz w:val="28"/>
        </w:rPr>
        <w:t>Further activities:</w:t>
      </w:r>
    </w:p>
    <w:p w14:paraId="3D0D271F" w14:textId="75820E68" w:rsidR="003F5060" w:rsidRDefault="004E46D0" w:rsidP="004E46D0">
      <w:pPr>
        <w:pStyle w:val="ListParagraph"/>
        <w:numPr>
          <w:ilvl w:val="0"/>
          <w:numId w:val="6"/>
        </w:numPr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 xml:space="preserve">Once the activity is complete, pupils could discuss how to structure the </w:t>
      </w:r>
      <w:r w:rsidR="00273413">
        <w:rPr>
          <w:rFonts w:ascii="Garamond" w:hAnsi="Garamond"/>
          <w:sz w:val="28"/>
        </w:rPr>
        <w:t>10-12 bullet points they now have – should they join them chronologically to show the development of Birling throughout the play, or are there other ways they could group them?</w:t>
      </w:r>
    </w:p>
    <w:p w14:paraId="5E865709" w14:textId="028876D8" w:rsidR="00081415" w:rsidRPr="00BA5FF2" w:rsidRDefault="003130DE" w:rsidP="00081415">
      <w:pPr>
        <w:pStyle w:val="ListParagraph"/>
        <w:numPr>
          <w:ilvl w:val="0"/>
          <w:numId w:val="6"/>
        </w:numPr>
        <w:rPr>
          <w:rFonts w:ascii="Garamond" w:hAnsi="Garamond"/>
          <w:b/>
          <w:sz w:val="28"/>
        </w:rPr>
      </w:pPr>
      <w:r w:rsidRPr="00BA5FF2">
        <w:rPr>
          <w:rFonts w:ascii="Garamond" w:hAnsi="Garamond"/>
          <w:sz w:val="28"/>
        </w:rPr>
        <w:t>Use in essays on – how could the material on this essay plan be adapted to answer different exam questions</w:t>
      </w:r>
      <w:r w:rsidR="00BA5FF2" w:rsidRPr="00BA5FF2">
        <w:rPr>
          <w:rFonts w:ascii="Garamond" w:hAnsi="Garamond"/>
          <w:sz w:val="28"/>
        </w:rPr>
        <w:t>?</w:t>
      </w:r>
    </w:p>
    <w:p w14:paraId="62C5E961" w14:textId="5AF19A41" w:rsidR="00081415" w:rsidRDefault="00081415" w:rsidP="00081415">
      <w:pPr>
        <w:rPr>
          <w:rFonts w:ascii="Garamond" w:hAnsi="Garamond"/>
          <w:b/>
          <w:sz w:val="28"/>
        </w:rPr>
      </w:pPr>
    </w:p>
    <w:p w14:paraId="5D972AC5" w14:textId="229326CE" w:rsidR="00081415" w:rsidRPr="00C02C17" w:rsidRDefault="00081415" w:rsidP="0008141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The </w:t>
      </w:r>
      <w:r w:rsidRPr="00C02C17">
        <w:rPr>
          <w:rFonts w:ascii="Garamond" w:hAnsi="Garamond"/>
          <w:b/>
          <w:sz w:val="28"/>
        </w:rPr>
        <w:t xml:space="preserve">Quotation </w:t>
      </w:r>
      <w:r>
        <w:rPr>
          <w:rFonts w:ascii="Garamond" w:hAnsi="Garamond"/>
          <w:b/>
          <w:sz w:val="28"/>
        </w:rPr>
        <w:t xml:space="preserve">Bank </w:t>
      </w:r>
      <w:r w:rsidR="00CD75DB">
        <w:rPr>
          <w:rFonts w:ascii="Garamond" w:hAnsi="Garamond"/>
          <w:b/>
          <w:sz w:val="28"/>
        </w:rPr>
        <w:t>Essay plan</w:t>
      </w:r>
      <w:r w:rsidRPr="00C02C17">
        <w:rPr>
          <w:rFonts w:ascii="Garamond" w:hAnsi="Garamond"/>
          <w:b/>
          <w:sz w:val="28"/>
        </w:rPr>
        <w:t>!</w:t>
      </w:r>
    </w:p>
    <w:tbl>
      <w:tblPr>
        <w:tblStyle w:val="TableGrid"/>
        <w:tblW w:w="0" w:type="auto"/>
        <w:jc w:val="center"/>
        <w:tblBorders>
          <w:top w:val="single" w:sz="8" w:space="0" w:color="008080"/>
          <w:left w:val="single" w:sz="8" w:space="0" w:color="008080"/>
          <w:bottom w:val="single" w:sz="8" w:space="0" w:color="008080"/>
          <w:right w:val="single" w:sz="8" w:space="0" w:color="008080"/>
          <w:insideH w:val="single" w:sz="8" w:space="0" w:color="008080"/>
          <w:insideV w:val="single" w:sz="8" w:space="0" w:color="008080"/>
        </w:tblBorders>
        <w:shd w:val="clear" w:color="0070C0" w:fill="auto"/>
        <w:tblLook w:val="04A0" w:firstRow="1" w:lastRow="0" w:firstColumn="1" w:lastColumn="0" w:noHBand="0" w:noVBand="1"/>
      </w:tblPr>
      <w:tblGrid>
        <w:gridCol w:w="943"/>
        <w:gridCol w:w="11092"/>
      </w:tblGrid>
      <w:tr w:rsidR="00081415" w14:paraId="6EA82133" w14:textId="77777777" w:rsidTr="00D55156">
        <w:trPr>
          <w:trHeight w:val="1185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0B509D10" w14:textId="77777777" w:rsidR="00081415" w:rsidRPr="00383D47" w:rsidRDefault="00081415" w:rsidP="00D55156">
            <w:pPr>
              <w:jc w:val="center"/>
              <w:rPr>
                <w:rFonts w:ascii="Garamond" w:hAnsi="Garamond"/>
                <w:b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b/>
                <w:color w:val="00B050"/>
                <w:sz w:val="28"/>
                <w:szCs w:val="20"/>
              </w:rPr>
              <w:t>A01</w:t>
            </w:r>
          </w:p>
        </w:tc>
        <w:tc>
          <w:tcPr>
            <w:tcW w:w="11092" w:type="dxa"/>
            <w:shd w:val="clear" w:color="0070C0" w:fill="auto"/>
          </w:tcPr>
          <w:p w14:paraId="2EA62BF5" w14:textId="77777777" w:rsidR="00081415" w:rsidRPr="00383D47" w:rsidRDefault="00081415" w:rsidP="00D55156">
            <w:p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>Read, understand and respond to texts. Students should be able to:</w:t>
            </w:r>
          </w:p>
          <w:p w14:paraId="37F111DF" w14:textId="77777777" w:rsidR="00081415" w:rsidRPr="00383D47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Maintain a critical style and develop an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informed personal response</w:t>
            </w:r>
          </w:p>
          <w:p w14:paraId="364776DF" w14:textId="77777777" w:rsidR="00081415" w:rsidRPr="00383D47" w:rsidRDefault="00081415" w:rsidP="00081415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Use textual references,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including quotations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, to support and illustrate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interpretations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. </w:t>
            </w:r>
          </w:p>
        </w:tc>
      </w:tr>
      <w:tr w:rsidR="00081415" w14:paraId="03CF5567" w14:textId="77777777" w:rsidTr="00D55156">
        <w:trPr>
          <w:trHeight w:val="650"/>
          <w:jc w:val="center"/>
        </w:trPr>
        <w:tc>
          <w:tcPr>
            <w:tcW w:w="943" w:type="dxa"/>
            <w:shd w:val="clear" w:color="0070C0" w:fill="auto"/>
            <w:vAlign w:val="center"/>
          </w:tcPr>
          <w:p w14:paraId="430E99B6" w14:textId="77777777" w:rsidR="00081415" w:rsidRPr="00383D47" w:rsidRDefault="00081415" w:rsidP="00D55156">
            <w:pPr>
              <w:jc w:val="center"/>
              <w:rPr>
                <w:rFonts w:ascii="Garamond" w:hAnsi="Garamond"/>
                <w:b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b/>
                <w:color w:val="00B050"/>
                <w:sz w:val="28"/>
                <w:szCs w:val="20"/>
              </w:rPr>
              <w:t>A02</w:t>
            </w:r>
          </w:p>
        </w:tc>
        <w:tc>
          <w:tcPr>
            <w:tcW w:w="11092" w:type="dxa"/>
            <w:shd w:val="clear" w:color="0070C0" w:fill="auto"/>
          </w:tcPr>
          <w:p w14:paraId="222BC272" w14:textId="77777777" w:rsidR="00081415" w:rsidRPr="00383D47" w:rsidRDefault="00081415" w:rsidP="00D55156">
            <w:pPr>
              <w:rPr>
                <w:rFonts w:ascii="Garamond" w:hAnsi="Garamond"/>
                <w:color w:val="00B050"/>
                <w:sz w:val="28"/>
                <w:szCs w:val="20"/>
              </w:rPr>
            </w:pP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Analyse the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Language, Form and Structure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 used by a writer to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create meanings and effects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, using </w:t>
            </w:r>
            <w:r w:rsidRPr="00383D47">
              <w:rPr>
                <w:rFonts w:ascii="Garamond" w:hAnsi="Garamond"/>
                <w:b/>
                <w:i/>
                <w:color w:val="00B050"/>
                <w:sz w:val="28"/>
                <w:szCs w:val="20"/>
              </w:rPr>
              <w:t>relevant subject terminology</w:t>
            </w:r>
            <w:r w:rsidRPr="00383D47">
              <w:rPr>
                <w:rFonts w:ascii="Garamond" w:hAnsi="Garamond"/>
                <w:color w:val="00B050"/>
                <w:sz w:val="28"/>
                <w:szCs w:val="20"/>
              </w:rPr>
              <w:t xml:space="preserve"> where appropriate. </w:t>
            </w:r>
          </w:p>
        </w:tc>
      </w:tr>
    </w:tbl>
    <w:p w14:paraId="440BF68E" w14:textId="77777777" w:rsidR="00081415" w:rsidRDefault="00081415" w:rsidP="00081415">
      <w:pPr>
        <w:rPr>
          <w:rFonts w:ascii="Garamond" w:hAnsi="Garamond"/>
          <w:sz w:val="28"/>
        </w:rPr>
      </w:pPr>
    </w:p>
    <w:p w14:paraId="19FE90E3" w14:textId="77777777" w:rsidR="00081415" w:rsidRPr="00C02C17" w:rsidRDefault="00081415" w:rsidP="00081415">
      <w:p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This activity allows you to show off all your analytical and interpretative skills!</w:t>
      </w:r>
    </w:p>
    <w:p w14:paraId="56090C23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Choose a quotation from the text</w:t>
      </w:r>
    </w:p>
    <w:p w14:paraId="342372FB" w14:textId="77777777" w:rsidR="00081415" w:rsidRPr="00C02C17" w:rsidRDefault="00081415" w:rsidP="00081415">
      <w:pPr>
        <w:pStyle w:val="ListParagraph"/>
        <w:rPr>
          <w:rFonts w:ascii="Garamond" w:hAnsi="Garamond"/>
          <w:sz w:val="26"/>
          <w:szCs w:val="26"/>
        </w:rPr>
      </w:pPr>
    </w:p>
    <w:p w14:paraId="4EFEDFF9" w14:textId="77777777" w:rsidR="00081415" w:rsidRPr="00C02C17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the headings in the blank quotation box to help you analyse and interpret the quotation</w:t>
      </w:r>
    </w:p>
    <w:p w14:paraId="22E336AA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Interpretation – Give your own personal response to the quotation. What does it suggest about a key theme or </w:t>
      </w:r>
      <w:r>
        <w:rPr>
          <w:rFonts w:ascii="Garamond" w:hAnsi="Garamond"/>
          <w:sz w:val="26"/>
          <w:szCs w:val="26"/>
        </w:rPr>
        <w:t>idea</w:t>
      </w:r>
      <w:r w:rsidRPr="00C02C17">
        <w:rPr>
          <w:rFonts w:ascii="Garamond" w:hAnsi="Garamond"/>
          <w:sz w:val="26"/>
          <w:szCs w:val="26"/>
        </w:rPr>
        <w:t>? What message is it conveying to the audience</w:t>
      </w:r>
      <w:r>
        <w:rPr>
          <w:rFonts w:ascii="Garamond" w:hAnsi="Garamond"/>
          <w:sz w:val="26"/>
          <w:szCs w:val="26"/>
        </w:rPr>
        <w:t xml:space="preserve"> or reader</w:t>
      </w:r>
      <w:r w:rsidRPr="00C02C17">
        <w:rPr>
          <w:rFonts w:ascii="Garamond" w:hAnsi="Garamond"/>
          <w:sz w:val="26"/>
          <w:szCs w:val="26"/>
        </w:rPr>
        <w:t>? You may want to include a brief contextual comment here if you like.</w:t>
      </w:r>
    </w:p>
    <w:p w14:paraId="01B4DE1F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Technique – What literary techniques are present in the quotation? This is just a list of techniques – you don’t need to analyse them at this point.</w:t>
      </w:r>
    </w:p>
    <w:p w14:paraId="12B9EDE2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Analysis – Break down the quotation into smaller parts and analyse the effect of language, form or structure. Aim for three different analytical points, covering three different techniques. </w:t>
      </w:r>
    </w:p>
    <w:p w14:paraId="01E7A770" w14:textId="77777777" w:rsidR="00081415" w:rsidRPr="00C02C17" w:rsidRDefault="00081415" w:rsidP="00081415">
      <w:pPr>
        <w:pStyle w:val="ListParagraph"/>
        <w:numPr>
          <w:ilvl w:val="0"/>
          <w:numId w:val="4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in essays on…. – Which possible exam questions or themes might this quotation be useful for?</w:t>
      </w:r>
    </w:p>
    <w:p w14:paraId="2F0F1DE0" w14:textId="77777777" w:rsidR="00081415" w:rsidRPr="00C02C17" w:rsidRDefault="00081415" w:rsidP="00081415">
      <w:pPr>
        <w:pStyle w:val="ListParagraph"/>
        <w:ind w:left="1440"/>
        <w:rPr>
          <w:rFonts w:ascii="Garamond" w:hAnsi="Garamond"/>
          <w:sz w:val="26"/>
          <w:szCs w:val="26"/>
        </w:rPr>
      </w:pPr>
    </w:p>
    <w:p w14:paraId="71F9D7F7" w14:textId="02791F15" w:rsidR="00081415" w:rsidRDefault="00081415" w:rsidP="0008141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Once you have analysed the quotation</w:t>
      </w:r>
      <w:r w:rsidR="00BA5FF2">
        <w:rPr>
          <w:rFonts w:ascii="Garamond" w:hAnsi="Garamond"/>
          <w:sz w:val="26"/>
          <w:szCs w:val="26"/>
        </w:rPr>
        <w:t>s</w:t>
      </w:r>
      <w:r w:rsidRPr="00C02C17">
        <w:rPr>
          <w:rFonts w:ascii="Garamond" w:hAnsi="Garamond"/>
          <w:sz w:val="26"/>
          <w:szCs w:val="26"/>
        </w:rPr>
        <w:t xml:space="preserve"> in </w:t>
      </w:r>
      <w:r>
        <w:rPr>
          <w:rFonts w:ascii="Garamond" w:hAnsi="Garamond"/>
          <w:sz w:val="26"/>
          <w:szCs w:val="26"/>
        </w:rPr>
        <w:t>detail</w:t>
      </w:r>
      <w:r w:rsidRPr="00C02C17">
        <w:rPr>
          <w:rFonts w:ascii="Garamond" w:hAnsi="Garamond"/>
          <w:sz w:val="26"/>
          <w:szCs w:val="26"/>
        </w:rPr>
        <w:t xml:space="preserve">, use the points you have made to </w:t>
      </w:r>
      <w:r w:rsidR="00BA5FF2">
        <w:rPr>
          <w:rFonts w:ascii="Garamond" w:hAnsi="Garamond"/>
          <w:sz w:val="26"/>
          <w:szCs w:val="26"/>
        </w:rPr>
        <w:t xml:space="preserve">plan </w:t>
      </w:r>
      <w:r w:rsidR="004900E5">
        <w:rPr>
          <w:rFonts w:ascii="Garamond" w:hAnsi="Garamond"/>
          <w:sz w:val="26"/>
          <w:szCs w:val="26"/>
        </w:rPr>
        <w:t>an essay to the question set.</w:t>
      </w:r>
    </w:p>
    <w:p w14:paraId="6BC94AF9" w14:textId="77777777" w:rsidR="00CD75DB" w:rsidRDefault="00CD75DB" w:rsidP="00CD75DB">
      <w:pPr>
        <w:pStyle w:val="ListParagraph"/>
        <w:rPr>
          <w:rFonts w:ascii="Garamond" w:hAnsi="Garamond"/>
          <w:sz w:val="26"/>
          <w:szCs w:val="26"/>
        </w:rPr>
      </w:pPr>
    </w:p>
    <w:p w14:paraId="276AFE43" w14:textId="545C161D" w:rsidR="004900E5" w:rsidRPr="004900E5" w:rsidRDefault="004900E5" w:rsidP="004900E5">
      <w:pPr>
        <w:pStyle w:val="ListParagraph"/>
        <w:numPr>
          <w:ilvl w:val="0"/>
          <w:numId w:val="3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Write </w:t>
      </w:r>
      <w:r w:rsidR="00CD75DB">
        <w:rPr>
          <w:rFonts w:ascii="Garamond" w:hAnsi="Garamond"/>
          <w:sz w:val="26"/>
          <w:szCs w:val="26"/>
        </w:rPr>
        <w:t>the essay</w:t>
      </w:r>
    </w:p>
    <w:p w14:paraId="18DF1B6A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 xml:space="preserve">Make sure the first sentence answers the question and gives a clear interpretation – try to use the terms in the question in your answer. </w:t>
      </w:r>
    </w:p>
    <w:p w14:paraId="422B6E93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Use all your analysis from the quotation box above, in full sentences, to develop your answer.</w:t>
      </w:r>
    </w:p>
    <w:p w14:paraId="173DD8AB" w14:textId="77777777" w:rsidR="00081415" w:rsidRPr="00C02C17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 w:rsidRPr="00C02C17">
        <w:rPr>
          <w:rFonts w:ascii="Garamond" w:hAnsi="Garamond"/>
          <w:sz w:val="26"/>
          <w:szCs w:val="26"/>
        </w:rPr>
        <w:t>Try to use appropriate connectives to give the paragraph a clear structure.</w:t>
      </w:r>
    </w:p>
    <w:p w14:paraId="3AADD4BD" w14:textId="77777777" w:rsidR="00081415" w:rsidRDefault="00081415" w:rsidP="00081415">
      <w:pPr>
        <w:pStyle w:val="ListParagraph"/>
        <w:numPr>
          <w:ilvl w:val="0"/>
          <w:numId w:val="5"/>
        </w:num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In your final sentence it is </w:t>
      </w:r>
      <w:proofErr w:type="gramStart"/>
      <w:r>
        <w:rPr>
          <w:rFonts w:ascii="Garamond" w:hAnsi="Garamond"/>
          <w:sz w:val="26"/>
          <w:szCs w:val="26"/>
        </w:rPr>
        <w:t>really useful</w:t>
      </w:r>
      <w:proofErr w:type="gramEnd"/>
      <w:r w:rsidRPr="00C02C17">
        <w:rPr>
          <w:rFonts w:ascii="Garamond" w:hAnsi="Garamond"/>
          <w:sz w:val="26"/>
          <w:szCs w:val="26"/>
        </w:rPr>
        <w:t xml:space="preserve"> to go back and </w:t>
      </w:r>
      <w:r>
        <w:rPr>
          <w:rFonts w:ascii="Garamond" w:hAnsi="Garamond"/>
          <w:sz w:val="26"/>
          <w:szCs w:val="26"/>
        </w:rPr>
        <w:t>explicitly address the question again</w:t>
      </w:r>
      <w:r w:rsidRPr="00C02C17">
        <w:rPr>
          <w:rFonts w:ascii="Garamond" w:hAnsi="Garamond"/>
          <w:sz w:val="26"/>
          <w:szCs w:val="26"/>
        </w:rPr>
        <w:t>, using the terms from the question to show you are focussed on the question set.</w:t>
      </w:r>
    </w:p>
    <w:p w14:paraId="18EFD88A" w14:textId="4B5E74F6" w:rsidR="00E33737" w:rsidRDefault="00E33737" w:rsidP="004900E5"/>
    <w:sectPr w:rsidR="00E33737" w:rsidSect="0093703A">
      <w:foot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F633B" w14:textId="77777777" w:rsidR="00F705FB" w:rsidRDefault="00F705FB">
      <w:pPr>
        <w:spacing w:after="0" w:line="240" w:lineRule="auto"/>
      </w:pPr>
      <w:r>
        <w:separator/>
      </w:r>
    </w:p>
  </w:endnote>
  <w:endnote w:type="continuationSeparator" w:id="0">
    <w:p w14:paraId="1A69F5AE" w14:textId="77777777" w:rsidR="00F705FB" w:rsidRDefault="00F70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0EB5" w14:textId="77777777" w:rsidR="00262959" w:rsidRDefault="0008141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2DA8932" wp14:editId="14CDF30C">
              <wp:simplePos x="0" y="0"/>
              <wp:positionH relativeFrom="margin">
                <wp:align>center</wp:align>
              </wp:positionH>
              <wp:positionV relativeFrom="paragraph">
                <wp:posOffset>241935</wp:posOffset>
              </wp:positionV>
              <wp:extent cx="7648575" cy="304800"/>
              <wp:effectExtent l="0" t="0" r="952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8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27358" w14:textId="77777777" w:rsidR="003312A5" w:rsidRPr="005403E9" w:rsidRDefault="00081415" w:rsidP="003312A5">
                          <w:pPr>
                            <w:rPr>
                              <w:rFonts w:ascii="Garamond" w:hAnsi="Garamond"/>
                              <w:b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</w:rPr>
                            <w:t>The Quotation Bank® GCSE English Literature Study Guides – free photocopiable resource. www.thequotationbank.co.uk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A893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19.05pt;width:602.25pt;height:2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GKIAIAABw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" stroked="f">
              <v:textbox>
                <w:txbxContent>
                  <w:p w14:paraId="12727358" w14:textId="77777777" w:rsidR="003312A5" w:rsidRPr="005403E9" w:rsidRDefault="00081415" w:rsidP="003312A5">
                    <w:pPr>
                      <w:rPr>
                        <w:rFonts w:ascii="Garamond" w:hAnsi="Garamond"/>
                        <w:b/>
                      </w:rPr>
                    </w:pPr>
                    <w:r>
                      <w:rPr>
                        <w:rFonts w:ascii="Garamond" w:hAnsi="Garamond"/>
                        <w:b/>
                      </w:rPr>
                      <w:t>The Quotation Bank® GCSE English Literature Study Guides – free photocopiable resource. www.thequotationbank.co.uk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BF1C976" wp14:editId="45CA83E4">
          <wp:simplePos x="0" y="0"/>
          <wp:positionH relativeFrom="leftMargin">
            <wp:align>right</wp:align>
          </wp:positionH>
          <wp:positionV relativeFrom="paragraph">
            <wp:posOffset>165735</wp:posOffset>
          </wp:positionV>
          <wp:extent cx="352425" cy="44219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5329B5F" wp14:editId="017F4150">
          <wp:simplePos x="0" y="0"/>
          <wp:positionH relativeFrom="page">
            <wp:align>right</wp:align>
          </wp:positionH>
          <wp:positionV relativeFrom="paragraph">
            <wp:posOffset>164651</wp:posOffset>
          </wp:positionV>
          <wp:extent cx="352425" cy="44219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" cy="442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3FF4F" w14:textId="77777777" w:rsidR="00F705FB" w:rsidRDefault="00F705FB">
      <w:pPr>
        <w:spacing w:after="0" w:line="240" w:lineRule="auto"/>
      </w:pPr>
      <w:r>
        <w:separator/>
      </w:r>
    </w:p>
  </w:footnote>
  <w:footnote w:type="continuationSeparator" w:id="0">
    <w:p w14:paraId="77ECFEBE" w14:textId="77777777" w:rsidR="00F705FB" w:rsidRDefault="00F70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5152C"/>
    <w:multiLevelType w:val="hybridMultilevel"/>
    <w:tmpl w:val="B6FC5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C2A0B"/>
    <w:multiLevelType w:val="hybridMultilevel"/>
    <w:tmpl w:val="9D508C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2126E"/>
    <w:multiLevelType w:val="hybridMultilevel"/>
    <w:tmpl w:val="761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6A1C7D"/>
    <w:multiLevelType w:val="hybridMultilevel"/>
    <w:tmpl w:val="3C76EC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966D6C"/>
    <w:multiLevelType w:val="hybridMultilevel"/>
    <w:tmpl w:val="4AC4A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35C48"/>
    <w:multiLevelType w:val="hybridMultilevel"/>
    <w:tmpl w:val="22B289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15"/>
    <w:rsid w:val="0002406F"/>
    <w:rsid w:val="000542C8"/>
    <w:rsid w:val="00081415"/>
    <w:rsid w:val="00263AAB"/>
    <w:rsid w:val="00265BC7"/>
    <w:rsid w:val="00273413"/>
    <w:rsid w:val="002959E0"/>
    <w:rsid w:val="003130DE"/>
    <w:rsid w:val="003F5060"/>
    <w:rsid w:val="004900E5"/>
    <w:rsid w:val="004E46D0"/>
    <w:rsid w:val="00531C7C"/>
    <w:rsid w:val="00534E36"/>
    <w:rsid w:val="00577677"/>
    <w:rsid w:val="00683AC8"/>
    <w:rsid w:val="007053E4"/>
    <w:rsid w:val="007440A5"/>
    <w:rsid w:val="00762FFF"/>
    <w:rsid w:val="007C21CD"/>
    <w:rsid w:val="007D4DAA"/>
    <w:rsid w:val="007E4456"/>
    <w:rsid w:val="007F49AB"/>
    <w:rsid w:val="00932602"/>
    <w:rsid w:val="009B054D"/>
    <w:rsid w:val="00AD54BB"/>
    <w:rsid w:val="00B87C1D"/>
    <w:rsid w:val="00BA5FF2"/>
    <w:rsid w:val="00BD3574"/>
    <w:rsid w:val="00C437ED"/>
    <w:rsid w:val="00C814EB"/>
    <w:rsid w:val="00CD75DB"/>
    <w:rsid w:val="00CE68D0"/>
    <w:rsid w:val="00D016D9"/>
    <w:rsid w:val="00D21EE3"/>
    <w:rsid w:val="00D25C75"/>
    <w:rsid w:val="00D31B3C"/>
    <w:rsid w:val="00E33737"/>
    <w:rsid w:val="00E60C0B"/>
    <w:rsid w:val="00F514BF"/>
    <w:rsid w:val="00F705FB"/>
    <w:rsid w:val="00FC235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9FB7"/>
  <w15:chartTrackingRefBased/>
  <w15:docId w15:val="{A78974F5-7C85-4C26-82BE-D3BFF1FF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1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4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814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415"/>
  </w:style>
  <w:style w:type="table" w:styleId="TableGrid">
    <w:name w:val="Table Grid"/>
    <w:basedOn w:val="TableNormal"/>
    <w:uiPriority w:val="39"/>
    <w:rsid w:val="00081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0C8F-CABB-4FCA-BE7B-3457FEAA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Quotation Bank</dc:creator>
  <cp:keywords/>
  <dc:description/>
  <cp:lastModifiedBy>The Quotation Bank</cp:lastModifiedBy>
  <cp:revision>37</cp:revision>
  <dcterms:created xsi:type="dcterms:W3CDTF">2019-03-03T11:51:00Z</dcterms:created>
  <dcterms:modified xsi:type="dcterms:W3CDTF">2019-03-03T12:22:00Z</dcterms:modified>
</cp:coreProperties>
</file>