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7306" w14:textId="600A3FDB" w:rsidR="00A83288" w:rsidRDefault="00A83288" w:rsidP="00656F51">
      <w:pPr>
        <w:spacing w:beforeAutospacing="1" w:after="100" w:afterAutospacing="1" w:line="240" w:lineRule="auto"/>
        <w:rPr>
          <w:rFonts w:ascii="Helvetica" w:eastAsia="Times New Roman" w:hAnsi="Helvetica" w:cs="Times New Roman"/>
          <w:b/>
          <w:bCs/>
          <w:sz w:val="26"/>
          <w:szCs w:val="26"/>
          <w:u w:val="single"/>
          <w:lang w:eastAsia="en-GB"/>
        </w:rPr>
      </w:pPr>
      <w:r w:rsidRPr="001A512C">
        <w:rPr>
          <w:rFonts w:ascii="Helvetica" w:eastAsia="Times New Roman" w:hAnsi="Helvetica" w:cs="Times New Roman"/>
          <w:noProof/>
          <w:sz w:val="24"/>
          <w:szCs w:val="24"/>
          <w:lang w:eastAsia="en-GB"/>
        </w:rPr>
        <w:drawing>
          <wp:anchor distT="0" distB="0" distL="114300" distR="114300" simplePos="0" relativeHeight="251659264" behindDoc="0" locked="0" layoutInCell="1" allowOverlap="1" wp14:anchorId="10F5F3B0" wp14:editId="45B19FC6">
            <wp:simplePos x="0" y="0"/>
            <wp:positionH relativeFrom="page">
              <wp:posOffset>688794</wp:posOffset>
            </wp:positionH>
            <wp:positionV relativeFrom="paragraph">
              <wp:posOffset>-602434</wp:posOffset>
            </wp:positionV>
            <wp:extent cx="6936740" cy="11804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6740" cy="1180465"/>
                    </a:xfrm>
                    <a:prstGeom prst="rect">
                      <a:avLst/>
                    </a:prstGeom>
                  </pic:spPr>
                </pic:pic>
              </a:graphicData>
            </a:graphic>
            <wp14:sizeRelH relativeFrom="page">
              <wp14:pctWidth>0</wp14:pctWidth>
            </wp14:sizeRelH>
            <wp14:sizeRelV relativeFrom="page">
              <wp14:pctHeight>0</wp14:pctHeight>
            </wp14:sizeRelV>
          </wp:anchor>
        </w:drawing>
      </w:r>
    </w:p>
    <w:p w14:paraId="6A5C7838" w14:textId="77777777" w:rsidR="00A83288" w:rsidRDefault="00A83288" w:rsidP="00656F51">
      <w:pPr>
        <w:spacing w:beforeAutospacing="1" w:after="100" w:afterAutospacing="1" w:line="240" w:lineRule="auto"/>
        <w:rPr>
          <w:rFonts w:ascii="Helvetica" w:eastAsia="Times New Roman" w:hAnsi="Helvetica" w:cs="Times New Roman"/>
          <w:b/>
          <w:bCs/>
          <w:sz w:val="26"/>
          <w:szCs w:val="26"/>
          <w:u w:val="single"/>
          <w:lang w:eastAsia="en-GB"/>
        </w:rPr>
      </w:pPr>
    </w:p>
    <w:p w14:paraId="15D5A6E7" w14:textId="7039897D" w:rsidR="00656F51" w:rsidRPr="00A83288" w:rsidRDefault="009F3912" w:rsidP="00656F51">
      <w:pPr>
        <w:spacing w:beforeAutospacing="1" w:after="100" w:afterAutospacing="1" w:line="240" w:lineRule="auto"/>
        <w:rPr>
          <w:rFonts w:ascii="Helvetica" w:eastAsia="Times New Roman" w:hAnsi="Helvetica" w:cs="Times New Roman"/>
          <w:b/>
          <w:bCs/>
          <w:sz w:val="28"/>
          <w:szCs w:val="28"/>
          <w:u w:val="single"/>
          <w:lang w:eastAsia="en-GB"/>
        </w:rPr>
      </w:pPr>
      <w:r w:rsidRPr="00A83288">
        <w:rPr>
          <w:rFonts w:ascii="Helvetica" w:eastAsia="Times New Roman" w:hAnsi="Helvetica" w:cs="Times New Roman"/>
          <w:b/>
          <w:bCs/>
          <w:sz w:val="28"/>
          <w:szCs w:val="28"/>
          <w:u w:val="single"/>
          <w:lang w:eastAsia="en-GB"/>
        </w:rPr>
        <w:t>S</w:t>
      </w:r>
      <w:r w:rsidR="00656F51" w:rsidRPr="00A83288">
        <w:rPr>
          <w:rFonts w:ascii="Helvetica" w:eastAsia="Times New Roman" w:hAnsi="Helvetica" w:cs="Times New Roman"/>
          <w:b/>
          <w:bCs/>
          <w:sz w:val="28"/>
          <w:szCs w:val="28"/>
          <w:u w:val="single"/>
          <w:lang w:eastAsia="en-GB"/>
        </w:rPr>
        <w:t xml:space="preserve">ignificance of the </w:t>
      </w:r>
      <w:r w:rsidRPr="00A83288">
        <w:rPr>
          <w:rFonts w:ascii="Helvetica" w:eastAsia="Times New Roman" w:hAnsi="Helvetica" w:cs="Times New Roman"/>
          <w:b/>
          <w:bCs/>
          <w:sz w:val="28"/>
          <w:szCs w:val="28"/>
          <w:u w:val="single"/>
          <w:lang w:eastAsia="en-GB"/>
        </w:rPr>
        <w:t>I</w:t>
      </w:r>
      <w:r w:rsidR="00656F51" w:rsidRPr="00A83288">
        <w:rPr>
          <w:rFonts w:ascii="Helvetica" w:eastAsia="Times New Roman" w:hAnsi="Helvetica" w:cs="Times New Roman"/>
          <w:b/>
          <w:bCs/>
          <w:sz w:val="28"/>
          <w:szCs w:val="28"/>
          <w:u w:val="single"/>
          <w:lang w:eastAsia="en-GB"/>
        </w:rPr>
        <w:t>nsignificant</w:t>
      </w:r>
    </w:p>
    <w:p w14:paraId="3C1E31AC" w14:textId="2EDAC852" w:rsidR="00656F51" w:rsidRPr="00A83288" w:rsidRDefault="00656F51" w:rsidP="00656F51">
      <w:pPr>
        <w:spacing w:before="100" w:beforeAutospacing="1" w:after="100" w:afterAutospacing="1" w:line="240" w:lineRule="auto"/>
        <w:rPr>
          <w:rFonts w:ascii="Helvetica" w:eastAsia="Times New Roman" w:hAnsi="Helvetica" w:cs="Times New Roman"/>
          <w:sz w:val="28"/>
          <w:szCs w:val="28"/>
          <w:lang w:eastAsia="en-GB"/>
        </w:rPr>
      </w:pPr>
      <w:r w:rsidRPr="00A83288">
        <w:rPr>
          <w:rFonts w:ascii="Helvetica" w:eastAsia="Times New Roman" w:hAnsi="Helvetica" w:cs="Times New Roman"/>
          <w:sz w:val="28"/>
          <w:szCs w:val="28"/>
          <w:lang w:eastAsia="en-GB"/>
        </w:rPr>
        <w:t xml:space="preserve">In recent years, </w:t>
      </w:r>
      <w:r w:rsidR="00350FD5" w:rsidRPr="00A83288">
        <w:rPr>
          <w:rFonts w:ascii="Helvetica" w:eastAsia="Times New Roman" w:hAnsi="Helvetica" w:cs="Times New Roman"/>
          <w:sz w:val="28"/>
          <w:szCs w:val="28"/>
          <w:lang w:eastAsia="en-GB"/>
        </w:rPr>
        <w:t xml:space="preserve">some </w:t>
      </w:r>
      <w:r w:rsidRPr="00A83288">
        <w:rPr>
          <w:rFonts w:ascii="Helvetica" w:eastAsia="Times New Roman" w:hAnsi="Helvetica" w:cs="Times New Roman"/>
          <w:sz w:val="28"/>
          <w:szCs w:val="28"/>
          <w:lang w:eastAsia="en-GB"/>
        </w:rPr>
        <w:t xml:space="preserve">English Literature GCSE and A-Level exam questions have asked students to focus on areas of a set text that </w:t>
      </w:r>
      <w:r w:rsidR="00350FD5" w:rsidRPr="00A83288">
        <w:rPr>
          <w:rFonts w:ascii="Helvetica" w:eastAsia="Times New Roman" w:hAnsi="Helvetica" w:cs="Times New Roman"/>
          <w:sz w:val="28"/>
          <w:szCs w:val="28"/>
          <w:lang w:eastAsia="en-GB"/>
        </w:rPr>
        <w:t>perhaps</w:t>
      </w:r>
      <w:r w:rsidRPr="00A83288">
        <w:rPr>
          <w:rFonts w:ascii="Helvetica" w:eastAsia="Times New Roman" w:hAnsi="Helvetica" w:cs="Times New Roman"/>
          <w:sz w:val="28"/>
          <w:szCs w:val="28"/>
          <w:lang w:eastAsia="en-GB"/>
        </w:rPr>
        <w:t xml:space="preserve"> diverge from the "main" thematic or character-based concerns of the text. </w:t>
      </w:r>
    </w:p>
    <w:p w14:paraId="4244097F" w14:textId="34529AD2" w:rsidR="00656F51" w:rsidRPr="00A83288" w:rsidRDefault="00656F51" w:rsidP="00656F51">
      <w:pPr>
        <w:spacing w:before="100" w:beforeAutospacing="1" w:after="100" w:afterAutospacing="1" w:line="240" w:lineRule="auto"/>
        <w:rPr>
          <w:rFonts w:ascii="Helvetica" w:eastAsia="Times New Roman" w:hAnsi="Helvetica" w:cs="Times New Roman"/>
          <w:sz w:val="28"/>
          <w:szCs w:val="28"/>
          <w:lang w:eastAsia="en-GB"/>
        </w:rPr>
      </w:pPr>
      <w:r w:rsidRPr="00A83288">
        <w:rPr>
          <w:rFonts w:ascii="Helvetica" w:eastAsia="Times New Roman" w:hAnsi="Helvetica" w:cs="Times New Roman"/>
          <w:sz w:val="28"/>
          <w:szCs w:val="28"/>
          <w:lang w:eastAsia="en-GB"/>
        </w:rPr>
        <w:t>It is important teachers note that exam boards make explicit the fact that questions and extracts can come from ANYWHERE IN A TEXT - therefore, skipping over the seemingly insignificant is not necessarily a sensible idea.</w:t>
      </w:r>
    </w:p>
    <w:p w14:paraId="62064D6E" w14:textId="44F94763" w:rsidR="00656F51" w:rsidRPr="00A83288" w:rsidRDefault="00350FD5" w:rsidP="00656F51">
      <w:pPr>
        <w:spacing w:before="100" w:beforeAutospacing="1" w:after="100" w:afterAutospacing="1" w:line="240" w:lineRule="auto"/>
        <w:rPr>
          <w:rFonts w:ascii="Helvetica" w:eastAsia="Times New Roman" w:hAnsi="Helvetica" w:cs="Times New Roman"/>
          <w:sz w:val="28"/>
          <w:szCs w:val="28"/>
          <w:lang w:eastAsia="en-GB"/>
        </w:rPr>
      </w:pPr>
      <w:r w:rsidRPr="00A83288">
        <w:rPr>
          <w:rFonts w:ascii="Helvetica" w:eastAsia="Times New Roman" w:hAnsi="Helvetica" w:cs="Times New Roman"/>
          <w:sz w:val="28"/>
          <w:szCs w:val="28"/>
          <w:lang w:eastAsia="en-GB"/>
        </w:rPr>
        <w:t>Learning</w:t>
      </w:r>
      <w:r w:rsidR="00656F51" w:rsidRPr="00A83288">
        <w:rPr>
          <w:rFonts w:ascii="Helvetica" w:eastAsia="Times New Roman" w:hAnsi="Helvetica" w:cs="Times New Roman"/>
          <w:sz w:val="28"/>
          <w:szCs w:val="28"/>
          <w:lang w:eastAsia="en-GB"/>
        </w:rPr>
        <w:t xml:space="preserve"> time is limited, and it is logical to spend quality time on "key" sections of a text. To that end, we </w:t>
      </w:r>
      <w:r w:rsidRPr="00A83288">
        <w:rPr>
          <w:rFonts w:ascii="Helvetica" w:eastAsia="Times New Roman" w:hAnsi="Helvetica" w:cs="Times New Roman"/>
          <w:sz w:val="28"/>
          <w:szCs w:val="28"/>
          <w:lang w:eastAsia="en-GB"/>
        </w:rPr>
        <w:t>have</w:t>
      </w:r>
      <w:r w:rsidR="00656F51" w:rsidRPr="00A83288">
        <w:rPr>
          <w:rFonts w:ascii="Helvetica" w:eastAsia="Times New Roman" w:hAnsi="Helvetica" w:cs="Times New Roman"/>
          <w:sz w:val="28"/>
          <w:szCs w:val="28"/>
          <w:lang w:eastAsia="en-GB"/>
        </w:rPr>
        <w:t xml:space="preserve"> provide</w:t>
      </w:r>
      <w:r w:rsidRPr="00A83288">
        <w:rPr>
          <w:rFonts w:ascii="Helvetica" w:eastAsia="Times New Roman" w:hAnsi="Helvetica" w:cs="Times New Roman"/>
          <w:sz w:val="28"/>
          <w:szCs w:val="28"/>
          <w:lang w:eastAsia="en-GB"/>
        </w:rPr>
        <w:t>d</w:t>
      </w:r>
      <w:r w:rsidR="00656F51" w:rsidRPr="00A83288">
        <w:rPr>
          <w:rFonts w:ascii="Helvetica" w:eastAsia="Times New Roman" w:hAnsi="Helvetica" w:cs="Times New Roman"/>
          <w:sz w:val="28"/>
          <w:szCs w:val="28"/>
          <w:lang w:eastAsia="en-GB"/>
        </w:rPr>
        <w:t xml:space="preserve"> brief analysis of </w:t>
      </w:r>
      <w:r w:rsidR="00656F51" w:rsidRPr="00A83288">
        <w:rPr>
          <w:rFonts w:ascii="Helvetica" w:eastAsia="Times New Roman" w:hAnsi="Helvetica" w:cs="Times New Roman"/>
          <w:b/>
          <w:bCs/>
          <w:i/>
          <w:iCs/>
          <w:sz w:val="28"/>
          <w:szCs w:val="28"/>
          <w:lang w:eastAsia="en-GB"/>
        </w:rPr>
        <w:t>'insignificant scenes of significance'</w:t>
      </w:r>
      <w:r w:rsidR="00656F51" w:rsidRPr="00A83288">
        <w:rPr>
          <w:rFonts w:ascii="Helvetica" w:eastAsia="Times New Roman" w:hAnsi="Helvetica" w:cs="Times New Roman"/>
          <w:sz w:val="28"/>
          <w:szCs w:val="28"/>
          <w:lang w:eastAsia="en-GB"/>
        </w:rPr>
        <w:t xml:space="preserve"> for</w:t>
      </w:r>
      <w:r w:rsidRPr="00A83288">
        <w:rPr>
          <w:rFonts w:ascii="Helvetica" w:eastAsia="Times New Roman" w:hAnsi="Helvetica" w:cs="Times New Roman"/>
          <w:sz w:val="28"/>
          <w:szCs w:val="28"/>
          <w:lang w:eastAsia="en-GB"/>
        </w:rPr>
        <w:t xml:space="preserve"> </w:t>
      </w:r>
      <w:proofErr w:type="gramStart"/>
      <w:r w:rsidR="008D6CE5" w:rsidRPr="00A83288">
        <w:rPr>
          <w:rFonts w:ascii="Helvetica" w:eastAsia="Times New Roman" w:hAnsi="Helvetica" w:cs="Times New Roman"/>
          <w:sz w:val="28"/>
          <w:szCs w:val="28"/>
          <w:lang w:eastAsia="en-GB"/>
        </w:rPr>
        <w:t>a number of</w:t>
      </w:r>
      <w:proofErr w:type="gramEnd"/>
      <w:r w:rsidRPr="00A83288">
        <w:rPr>
          <w:rFonts w:ascii="Helvetica" w:eastAsia="Times New Roman" w:hAnsi="Helvetica" w:cs="Times New Roman"/>
          <w:sz w:val="28"/>
          <w:szCs w:val="28"/>
          <w:lang w:eastAsia="en-GB"/>
        </w:rPr>
        <w:t xml:space="preserve"> </w:t>
      </w:r>
      <w:r w:rsidR="00656F51" w:rsidRPr="00A83288">
        <w:rPr>
          <w:rFonts w:ascii="Helvetica" w:eastAsia="Times New Roman" w:hAnsi="Helvetica" w:cs="Times New Roman"/>
          <w:sz w:val="28"/>
          <w:szCs w:val="28"/>
          <w:lang w:eastAsia="en-GB"/>
        </w:rPr>
        <w:t>GCSE</w:t>
      </w:r>
      <w:r w:rsidRPr="00A83288">
        <w:rPr>
          <w:rFonts w:ascii="Helvetica" w:eastAsia="Times New Roman" w:hAnsi="Helvetica" w:cs="Times New Roman"/>
          <w:sz w:val="28"/>
          <w:szCs w:val="28"/>
          <w:lang w:eastAsia="en-GB"/>
        </w:rPr>
        <w:t xml:space="preserve"> texts</w:t>
      </w:r>
      <w:r w:rsidR="00656F51" w:rsidRPr="00A83288">
        <w:rPr>
          <w:rFonts w:ascii="Helvetica" w:eastAsia="Times New Roman" w:hAnsi="Helvetica" w:cs="Times New Roman"/>
          <w:sz w:val="28"/>
          <w:szCs w:val="28"/>
          <w:lang w:eastAsia="en-GB"/>
        </w:rPr>
        <w:t xml:space="preserve">, so that </w:t>
      </w:r>
      <w:r w:rsidRPr="00A83288">
        <w:rPr>
          <w:rFonts w:ascii="Helvetica" w:eastAsia="Times New Roman" w:hAnsi="Helvetica" w:cs="Times New Roman"/>
          <w:sz w:val="28"/>
          <w:szCs w:val="28"/>
          <w:lang w:eastAsia="en-GB"/>
        </w:rPr>
        <w:t xml:space="preserve">these </w:t>
      </w:r>
      <w:r w:rsidR="00D46D0A" w:rsidRPr="00A83288">
        <w:rPr>
          <w:rFonts w:ascii="Helvetica" w:eastAsia="Times New Roman" w:hAnsi="Helvetica" w:cs="Times New Roman"/>
          <w:sz w:val="28"/>
          <w:szCs w:val="28"/>
          <w:lang w:eastAsia="en-GB"/>
        </w:rPr>
        <w:t>scenes can</w:t>
      </w:r>
      <w:r w:rsidR="00656F51" w:rsidRPr="00A83288">
        <w:rPr>
          <w:rFonts w:ascii="Helvetica" w:eastAsia="Times New Roman" w:hAnsi="Helvetica" w:cs="Times New Roman"/>
          <w:sz w:val="28"/>
          <w:szCs w:val="28"/>
          <w:lang w:eastAsia="en-GB"/>
        </w:rPr>
        <w:t xml:space="preserve"> be explored comprehensively but efficiently</w:t>
      </w:r>
      <w:r w:rsidR="00F62FE3" w:rsidRPr="00A83288">
        <w:rPr>
          <w:rFonts w:ascii="Helvetica" w:eastAsia="Times New Roman" w:hAnsi="Helvetica" w:cs="Times New Roman"/>
          <w:sz w:val="28"/>
          <w:szCs w:val="28"/>
          <w:lang w:eastAsia="en-GB"/>
        </w:rPr>
        <w:t xml:space="preserve"> by pupils</w:t>
      </w:r>
      <w:r w:rsidR="00656F51" w:rsidRPr="00A83288">
        <w:rPr>
          <w:rFonts w:ascii="Helvetica" w:eastAsia="Times New Roman" w:hAnsi="Helvetica" w:cs="Times New Roman"/>
          <w:sz w:val="28"/>
          <w:szCs w:val="28"/>
          <w:lang w:eastAsia="en-GB"/>
        </w:rPr>
        <w:t xml:space="preserve">. </w:t>
      </w:r>
    </w:p>
    <w:p w14:paraId="27E73165" w14:textId="2F95470F" w:rsidR="00656F51" w:rsidRPr="00A83288" w:rsidRDefault="00656F51" w:rsidP="00656F51">
      <w:pPr>
        <w:spacing w:before="100" w:beforeAutospacing="1" w:after="100" w:afterAutospacing="1" w:line="240" w:lineRule="auto"/>
        <w:rPr>
          <w:rFonts w:ascii="Helvetica" w:eastAsia="Times New Roman" w:hAnsi="Helvetica" w:cs="Times New Roman"/>
          <w:sz w:val="28"/>
          <w:szCs w:val="28"/>
          <w:lang w:eastAsia="en-GB"/>
        </w:rPr>
      </w:pPr>
      <w:r w:rsidRPr="00A83288">
        <w:rPr>
          <w:rFonts w:ascii="Helvetica" w:eastAsia="Times New Roman" w:hAnsi="Helvetica" w:cs="Times New Roman"/>
          <w:sz w:val="28"/>
          <w:szCs w:val="28"/>
          <w:lang w:eastAsia="en-GB"/>
        </w:rPr>
        <w:t xml:space="preserve">These scenes are also incredibly useful for </w:t>
      </w:r>
      <w:r w:rsidR="00350FD5" w:rsidRPr="00A83288">
        <w:rPr>
          <w:rFonts w:ascii="Helvetica" w:eastAsia="Times New Roman" w:hAnsi="Helvetica" w:cs="Times New Roman"/>
          <w:sz w:val="28"/>
          <w:szCs w:val="28"/>
          <w:lang w:eastAsia="en-GB"/>
        </w:rPr>
        <w:t>demonstrating</w:t>
      </w:r>
      <w:r w:rsidRPr="00A83288">
        <w:rPr>
          <w:rFonts w:ascii="Helvetica" w:eastAsia="Times New Roman" w:hAnsi="Helvetica" w:cs="Times New Roman"/>
          <w:sz w:val="28"/>
          <w:szCs w:val="28"/>
          <w:lang w:eastAsia="en-GB"/>
        </w:rPr>
        <w:t xml:space="preserve"> whole text knowledge - whilst key scenes may be rich in material, these brief scenes are excellent for highlighting the development of theme or </w:t>
      </w:r>
      <w:proofErr w:type="gramStart"/>
      <w:r w:rsidRPr="00A83288">
        <w:rPr>
          <w:rFonts w:ascii="Helvetica" w:eastAsia="Times New Roman" w:hAnsi="Helvetica" w:cs="Times New Roman"/>
          <w:sz w:val="28"/>
          <w:szCs w:val="28"/>
          <w:lang w:eastAsia="en-GB"/>
        </w:rPr>
        <w:t>character, and</w:t>
      </w:r>
      <w:proofErr w:type="gramEnd"/>
      <w:r w:rsidRPr="00A83288">
        <w:rPr>
          <w:rFonts w:ascii="Helvetica" w:eastAsia="Times New Roman" w:hAnsi="Helvetica" w:cs="Times New Roman"/>
          <w:sz w:val="28"/>
          <w:szCs w:val="28"/>
          <w:lang w:eastAsia="en-GB"/>
        </w:rPr>
        <w:t xml:space="preserve"> may even awaken an examiner to a new and original point that </w:t>
      </w:r>
      <w:r w:rsidR="009F5B9E" w:rsidRPr="00A83288">
        <w:rPr>
          <w:rFonts w:ascii="Helvetica" w:eastAsia="Times New Roman" w:hAnsi="Helvetica" w:cs="Times New Roman"/>
          <w:sz w:val="28"/>
          <w:szCs w:val="28"/>
          <w:lang w:eastAsia="en-GB"/>
        </w:rPr>
        <w:t>hasn’t</w:t>
      </w:r>
      <w:r w:rsidRPr="00A83288">
        <w:rPr>
          <w:rFonts w:ascii="Helvetica" w:eastAsia="Times New Roman" w:hAnsi="Helvetica" w:cs="Times New Roman"/>
          <w:sz w:val="28"/>
          <w:szCs w:val="28"/>
          <w:lang w:eastAsia="en-GB"/>
        </w:rPr>
        <w:t xml:space="preserve"> be</w:t>
      </w:r>
      <w:r w:rsidR="009F5B9E" w:rsidRPr="00A83288">
        <w:rPr>
          <w:rFonts w:ascii="Helvetica" w:eastAsia="Times New Roman" w:hAnsi="Helvetica" w:cs="Times New Roman"/>
          <w:sz w:val="28"/>
          <w:szCs w:val="28"/>
          <w:lang w:eastAsia="en-GB"/>
        </w:rPr>
        <w:t>en</w:t>
      </w:r>
      <w:r w:rsidRPr="00A83288">
        <w:rPr>
          <w:rFonts w:ascii="Helvetica" w:eastAsia="Times New Roman" w:hAnsi="Helvetica" w:cs="Times New Roman"/>
          <w:sz w:val="28"/>
          <w:szCs w:val="28"/>
          <w:lang w:eastAsia="en-GB"/>
        </w:rPr>
        <w:t xml:space="preserve"> made by pupils again and again!</w:t>
      </w:r>
    </w:p>
    <w:p w14:paraId="1ED2C6DC" w14:textId="5A32423A" w:rsidR="00033E52" w:rsidRPr="00A83288" w:rsidRDefault="00033E52" w:rsidP="00033E52">
      <w:pPr>
        <w:spacing w:before="100" w:beforeAutospacing="1" w:after="100" w:afterAutospacing="1" w:line="240" w:lineRule="auto"/>
        <w:rPr>
          <w:rFonts w:ascii="Helvetica" w:eastAsia="Times New Roman" w:hAnsi="Helvetica" w:cs="Times New Roman"/>
          <w:i/>
          <w:iCs/>
          <w:sz w:val="28"/>
          <w:szCs w:val="28"/>
          <w:lang w:eastAsia="en-GB"/>
        </w:rPr>
      </w:pPr>
      <w:r w:rsidRPr="00A83288">
        <w:rPr>
          <w:rFonts w:ascii="Helvetica" w:eastAsia="Times New Roman" w:hAnsi="Helvetica" w:cs="Times New Roman"/>
          <w:i/>
          <w:iCs/>
          <w:sz w:val="28"/>
          <w:szCs w:val="28"/>
          <w:lang w:eastAsia="en-GB"/>
        </w:rPr>
        <w:t>Are you interested in writing a piece for our Significance of the Insignificant series? </w:t>
      </w:r>
    </w:p>
    <w:p w14:paraId="1723B114" w14:textId="0261F2BE" w:rsidR="00033E52" w:rsidRPr="00A83288" w:rsidRDefault="00033E52" w:rsidP="00033E52">
      <w:pPr>
        <w:spacing w:before="100" w:beforeAutospacing="1" w:after="100" w:afterAutospacing="1" w:line="240" w:lineRule="auto"/>
        <w:rPr>
          <w:rFonts w:ascii="Helvetica" w:eastAsia="Times New Roman" w:hAnsi="Helvetica" w:cs="Times New Roman"/>
          <w:i/>
          <w:iCs/>
          <w:sz w:val="28"/>
          <w:szCs w:val="28"/>
          <w:lang w:eastAsia="en-GB"/>
        </w:rPr>
      </w:pPr>
      <w:r w:rsidRPr="00A83288">
        <w:rPr>
          <w:rFonts w:ascii="Helvetica" w:eastAsia="Times New Roman" w:hAnsi="Helvetica" w:cs="Times New Roman"/>
          <w:i/>
          <w:iCs/>
          <w:sz w:val="28"/>
          <w:szCs w:val="28"/>
          <w:lang w:eastAsia="en-GB"/>
        </w:rPr>
        <w:t xml:space="preserve">If you would like to know more about publishing an article for this series with us, on any number of GCSE texts, then get in touch at </w:t>
      </w:r>
      <w:hyperlink r:id="rId12" w:tgtFrame="_blank" w:history="1">
        <w:r w:rsidRPr="00A83288">
          <w:rPr>
            <w:rFonts w:ascii="Helvetica" w:eastAsia="Times New Roman" w:hAnsi="Helvetica" w:cs="Times New Roman"/>
            <w:i/>
            <w:iCs/>
            <w:color w:val="0000FF"/>
            <w:sz w:val="28"/>
            <w:szCs w:val="28"/>
            <w:u w:val="single"/>
            <w:lang w:eastAsia="en-GB"/>
          </w:rPr>
          <w:t>contact@thequotationbank.co.uk</w:t>
        </w:r>
      </w:hyperlink>
      <w:r w:rsidRPr="00A83288">
        <w:rPr>
          <w:rFonts w:ascii="Helvetica" w:eastAsia="Times New Roman" w:hAnsi="Helvetica" w:cs="Times New Roman"/>
          <w:i/>
          <w:iCs/>
          <w:sz w:val="28"/>
          <w:szCs w:val="28"/>
          <w:lang w:eastAsia="en-GB"/>
        </w:rPr>
        <w:t xml:space="preserve"> to find out more</w:t>
      </w:r>
      <w:r w:rsidR="003F0F24" w:rsidRPr="00A83288">
        <w:rPr>
          <w:rFonts w:ascii="Helvetica" w:eastAsia="Times New Roman" w:hAnsi="Helvetica" w:cs="Times New Roman"/>
          <w:i/>
          <w:iCs/>
          <w:sz w:val="28"/>
          <w:szCs w:val="28"/>
          <w:lang w:eastAsia="en-GB"/>
        </w:rPr>
        <w:t>.</w:t>
      </w:r>
    </w:p>
    <w:p w14:paraId="02AA0EEF" w14:textId="048F77A9" w:rsidR="002E6864" w:rsidRPr="00A83288" w:rsidRDefault="00EA6654" w:rsidP="00033E52">
      <w:pPr>
        <w:spacing w:before="100" w:beforeAutospacing="1" w:after="100" w:afterAutospacing="1" w:line="240" w:lineRule="auto"/>
        <w:rPr>
          <w:rFonts w:ascii="Helvetica" w:eastAsia="Times New Roman" w:hAnsi="Helvetica" w:cs="Times New Roman"/>
          <w:i/>
          <w:iCs/>
          <w:sz w:val="28"/>
          <w:szCs w:val="28"/>
          <w:lang w:eastAsia="en-GB"/>
        </w:rPr>
      </w:pPr>
      <w:r w:rsidRPr="00A83288">
        <w:rPr>
          <w:rFonts w:ascii="Helvetica" w:eastAsia="Times New Roman" w:hAnsi="Helvetica" w:cs="Times New Roman"/>
          <w:i/>
          <w:iCs/>
          <w:sz w:val="28"/>
          <w:szCs w:val="28"/>
          <w:lang w:eastAsia="en-GB"/>
        </w:rPr>
        <w:t>Please note – the</w:t>
      </w:r>
      <w:r w:rsidR="007A4F11" w:rsidRPr="00A83288">
        <w:rPr>
          <w:rFonts w:ascii="Helvetica" w:eastAsia="Times New Roman" w:hAnsi="Helvetica" w:cs="Times New Roman"/>
          <w:i/>
          <w:iCs/>
          <w:sz w:val="28"/>
          <w:szCs w:val="28"/>
          <w:lang w:eastAsia="en-GB"/>
        </w:rPr>
        <w:t xml:space="preserve"> article below may be used</w:t>
      </w:r>
      <w:r w:rsidR="00C766B0" w:rsidRPr="00A83288">
        <w:rPr>
          <w:rFonts w:ascii="Helvetica" w:eastAsia="Times New Roman" w:hAnsi="Helvetica" w:cs="Times New Roman"/>
          <w:i/>
          <w:iCs/>
          <w:sz w:val="28"/>
          <w:szCs w:val="28"/>
          <w:lang w:eastAsia="en-GB"/>
        </w:rPr>
        <w:t xml:space="preserve"> freely in educational </w:t>
      </w:r>
      <w:r w:rsidR="00E85B48" w:rsidRPr="00A83288">
        <w:rPr>
          <w:rFonts w:ascii="Helvetica" w:eastAsia="Times New Roman" w:hAnsi="Helvetica" w:cs="Times New Roman"/>
          <w:i/>
          <w:iCs/>
          <w:sz w:val="28"/>
          <w:szCs w:val="28"/>
          <w:lang w:eastAsia="en-GB"/>
        </w:rPr>
        <w:t>settings but</w:t>
      </w:r>
      <w:r w:rsidR="00C766B0" w:rsidRPr="00A83288">
        <w:rPr>
          <w:rFonts w:ascii="Helvetica" w:eastAsia="Times New Roman" w:hAnsi="Helvetica" w:cs="Times New Roman"/>
          <w:i/>
          <w:iCs/>
          <w:sz w:val="28"/>
          <w:szCs w:val="28"/>
          <w:lang w:eastAsia="en-GB"/>
        </w:rPr>
        <w:t xml:space="preserve"> must not be used </w:t>
      </w:r>
      <w:r w:rsidR="00F66847" w:rsidRPr="00A83288">
        <w:rPr>
          <w:rFonts w:ascii="Helvetica" w:eastAsia="Times New Roman" w:hAnsi="Helvetica" w:cs="Times New Roman"/>
          <w:i/>
          <w:iCs/>
          <w:sz w:val="28"/>
          <w:szCs w:val="28"/>
          <w:lang w:eastAsia="en-GB"/>
        </w:rPr>
        <w:t xml:space="preserve">or adapted in any way </w:t>
      </w:r>
      <w:r w:rsidR="00C766B0" w:rsidRPr="00A83288">
        <w:rPr>
          <w:rFonts w:ascii="Helvetica" w:eastAsia="Times New Roman" w:hAnsi="Helvetica" w:cs="Times New Roman"/>
          <w:i/>
          <w:iCs/>
          <w:sz w:val="28"/>
          <w:szCs w:val="28"/>
          <w:lang w:eastAsia="en-GB"/>
        </w:rPr>
        <w:t>for commercial purposes under any circumstances.</w:t>
      </w:r>
      <w:r w:rsidR="001957C3" w:rsidRPr="00A83288">
        <w:rPr>
          <w:rFonts w:ascii="Helvetica" w:eastAsia="Times New Roman" w:hAnsi="Helvetica" w:cs="Times New Roman"/>
          <w:i/>
          <w:iCs/>
          <w:sz w:val="28"/>
          <w:szCs w:val="28"/>
          <w:lang w:eastAsia="en-GB"/>
        </w:rPr>
        <w:t xml:space="preserve"> Copyright remains with the </w:t>
      </w:r>
      <w:r w:rsidR="00E85B48" w:rsidRPr="00A83288">
        <w:rPr>
          <w:rFonts w:ascii="Helvetica" w:eastAsia="Times New Roman" w:hAnsi="Helvetica" w:cs="Times New Roman"/>
          <w:i/>
          <w:iCs/>
          <w:sz w:val="28"/>
          <w:szCs w:val="28"/>
          <w:lang w:eastAsia="en-GB"/>
        </w:rPr>
        <w:t xml:space="preserve">author of the </w:t>
      </w:r>
      <w:r w:rsidR="00D22654" w:rsidRPr="00A83288">
        <w:rPr>
          <w:rFonts w:ascii="Helvetica" w:eastAsia="Times New Roman" w:hAnsi="Helvetica" w:cs="Times New Roman"/>
          <w:i/>
          <w:iCs/>
          <w:sz w:val="28"/>
          <w:szCs w:val="28"/>
          <w:lang w:eastAsia="en-GB"/>
        </w:rPr>
        <w:t>articles</w:t>
      </w:r>
      <w:r w:rsidR="00E85B48" w:rsidRPr="00A83288">
        <w:rPr>
          <w:rFonts w:ascii="Helvetica" w:eastAsia="Times New Roman" w:hAnsi="Helvetica" w:cs="Times New Roman"/>
          <w:i/>
          <w:iCs/>
          <w:sz w:val="28"/>
          <w:szCs w:val="28"/>
          <w:lang w:eastAsia="en-GB"/>
        </w:rPr>
        <w:t xml:space="preserve">. </w:t>
      </w:r>
      <w:r w:rsidR="00C766B0" w:rsidRPr="00A83288">
        <w:rPr>
          <w:rFonts w:ascii="Helvetica" w:eastAsia="Times New Roman" w:hAnsi="Helvetica" w:cs="Times New Roman"/>
          <w:i/>
          <w:iCs/>
          <w:sz w:val="28"/>
          <w:szCs w:val="28"/>
          <w:lang w:eastAsia="en-GB"/>
        </w:rPr>
        <w:t xml:space="preserve"> </w:t>
      </w:r>
    </w:p>
    <w:p w14:paraId="44A59F78" w14:textId="3A42D3D0" w:rsidR="00A24B55" w:rsidRPr="00AB1730" w:rsidRDefault="003413E0" w:rsidP="00AB1730">
      <w:pPr>
        <w:spacing w:before="100" w:beforeAutospacing="1" w:after="100" w:afterAutospacing="1" w:line="240" w:lineRule="auto"/>
        <w:jc w:val="center"/>
        <w:rPr>
          <w:rFonts w:ascii="Helvetica" w:eastAsia="Times New Roman" w:hAnsi="Helvetica" w:cs="Times New Roman"/>
          <w:sz w:val="36"/>
          <w:szCs w:val="36"/>
          <w:lang w:eastAsia="en-GB"/>
        </w:rPr>
      </w:pPr>
      <w:hyperlink r:id="rId13" w:history="1">
        <w:r w:rsidR="00AB1730" w:rsidRPr="00297217">
          <w:rPr>
            <w:rStyle w:val="Hyperlink"/>
            <w:rFonts w:ascii="Helvetica" w:eastAsia="Times New Roman" w:hAnsi="Helvetica" w:cs="Times New Roman"/>
            <w:sz w:val="36"/>
            <w:szCs w:val="36"/>
            <w:lang w:eastAsia="en-GB"/>
          </w:rPr>
          <w:t>www.thequotationbank.co.uk</w:t>
        </w:r>
      </w:hyperlink>
    </w:p>
    <w:p w14:paraId="03D6F0BB" w14:textId="04B35083" w:rsidR="00236D0D" w:rsidRPr="003460A0" w:rsidRDefault="00585FAA" w:rsidP="00236D0D">
      <w:pPr>
        <w:spacing w:before="100" w:beforeAutospacing="1" w:after="100" w:afterAutospacing="1" w:line="240" w:lineRule="auto"/>
        <w:ind w:left="-567"/>
        <w:rPr>
          <w:rFonts w:ascii="Helvetica" w:eastAsia="Times New Roman" w:hAnsi="Helvetica" w:cs="Helvetica"/>
          <w:b/>
          <w:bCs/>
          <w:sz w:val="28"/>
          <w:szCs w:val="28"/>
          <w:u w:val="single"/>
          <w:lang w:eastAsia="en-GB"/>
        </w:rPr>
      </w:pPr>
      <w:r w:rsidRPr="001A512C">
        <w:rPr>
          <w:rFonts w:ascii="Helvetica" w:eastAsia="Times New Roman" w:hAnsi="Helvetica" w:cs="Times New Roman"/>
          <w:noProof/>
          <w:sz w:val="24"/>
          <w:szCs w:val="24"/>
          <w:lang w:eastAsia="en-GB"/>
        </w:rPr>
        <w:lastRenderedPageBreak/>
        <w:drawing>
          <wp:anchor distT="0" distB="0" distL="114300" distR="114300" simplePos="0" relativeHeight="251660288" behindDoc="1" locked="0" layoutInCell="1" allowOverlap="1" wp14:anchorId="33AD12AE" wp14:editId="13D09662">
            <wp:simplePos x="0" y="0"/>
            <wp:positionH relativeFrom="margin">
              <wp:posOffset>-543156</wp:posOffset>
            </wp:positionH>
            <wp:positionV relativeFrom="paragraph">
              <wp:posOffset>0</wp:posOffset>
            </wp:positionV>
            <wp:extent cx="6496685" cy="1104900"/>
            <wp:effectExtent l="0" t="0" r="0" b="0"/>
            <wp:wrapTight wrapText="bothSides">
              <wp:wrapPolygon edited="0">
                <wp:start x="0" y="0"/>
                <wp:lineTo x="0" y="21228"/>
                <wp:lineTo x="21535" y="21228"/>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6685" cy="1104900"/>
                    </a:xfrm>
                    <a:prstGeom prst="rect">
                      <a:avLst/>
                    </a:prstGeom>
                  </pic:spPr>
                </pic:pic>
              </a:graphicData>
            </a:graphic>
          </wp:anchor>
        </w:drawing>
      </w:r>
      <w:r w:rsidR="008D3E56" w:rsidRPr="008D3E56">
        <w:rPr>
          <w:rFonts w:ascii="Helvetica" w:eastAsia="Times New Roman" w:hAnsi="Helvetica" w:cs="Helvetica"/>
          <w:sz w:val="24"/>
          <w:szCs w:val="24"/>
          <w:lang w:val="en-US" w:eastAsia="en-GB"/>
        </w:rPr>
        <w:t xml:space="preserve"> </w:t>
      </w:r>
      <w:r w:rsidR="00236D0D" w:rsidRPr="003460A0">
        <w:rPr>
          <w:rFonts w:ascii="Helvetica" w:eastAsia="Times New Roman" w:hAnsi="Helvetica" w:cs="Helvetica"/>
          <w:b/>
          <w:bCs/>
          <w:sz w:val="28"/>
          <w:szCs w:val="28"/>
          <w:u w:val="single"/>
          <w:lang w:eastAsia="en-GB"/>
        </w:rPr>
        <w:t xml:space="preserve">Mr Birling: </w:t>
      </w:r>
      <w:r w:rsidR="003460A0">
        <w:rPr>
          <w:rFonts w:ascii="Helvetica" w:eastAsia="Times New Roman" w:hAnsi="Helvetica" w:cs="Helvetica"/>
          <w:b/>
          <w:bCs/>
          <w:sz w:val="28"/>
          <w:szCs w:val="28"/>
          <w:u w:val="single"/>
          <w:lang w:eastAsia="en-GB"/>
        </w:rPr>
        <w:t>T</w:t>
      </w:r>
      <w:r w:rsidR="00236D0D" w:rsidRPr="003460A0">
        <w:rPr>
          <w:rFonts w:ascii="Helvetica" w:eastAsia="Times New Roman" w:hAnsi="Helvetica" w:cs="Helvetica"/>
          <w:b/>
          <w:bCs/>
          <w:sz w:val="28"/>
          <w:szCs w:val="28"/>
          <w:u w:val="single"/>
          <w:lang w:eastAsia="en-GB"/>
        </w:rPr>
        <w:t xml:space="preserve">he </w:t>
      </w:r>
      <w:r w:rsidR="003460A0">
        <w:rPr>
          <w:rFonts w:ascii="Helvetica" w:eastAsia="Times New Roman" w:hAnsi="Helvetica" w:cs="Helvetica"/>
          <w:b/>
          <w:bCs/>
          <w:sz w:val="28"/>
          <w:szCs w:val="28"/>
          <w:u w:val="single"/>
          <w:lang w:eastAsia="en-GB"/>
        </w:rPr>
        <w:t>S</w:t>
      </w:r>
      <w:r w:rsidR="00236D0D" w:rsidRPr="003460A0">
        <w:rPr>
          <w:rFonts w:ascii="Helvetica" w:eastAsia="Times New Roman" w:hAnsi="Helvetica" w:cs="Helvetica"/>
          <w:b/>
          <w:bCs/>
          <w:sz w:val="28"/>
          <w:szCs w:val="28"/>
          <w:u w:val="single"/>
          <w:lang w:eastAsia="en-GB"/>
        </w:rPr>
        <w:t xml:space="preserve">ignificance of </w:t>
      </w:r>
      <w:r w:rsidR="003460A0">
        <w:rPr>
          <w:rFonts w:ascii="Helvetica" w:eastAsia="Times New Roman" w:hAnsi="Helvetica" w:cs="Helvetica"/>
          <w:b/>
          <w:bCs/>
          <w:sz w:val="28"/>
          <w:szCs w:val="28"/>
          <w:u w:val="single"/>
          <w:lang w:eastAsia="en-GB"/>
        </w:rPr>
        <w:t>S</w:t>
      </w:r>
      <w:r w:rsidR="00236D0D" w:rsidRPr="003460A0">
        <w:rPr>
          <w:rFonts w:ascii="Helvetica" w:eastAsia="Times New Roman" w:hAnsi="Helvetica" w:cs="Helvetica"/>
          <w:b/>
          <w:bCs/>
          <w:sz w:val="28"/>
          <w:szCs w:val="28"/>
          <w:u w:val="single"/>
          <w:lang w:eastAsia="en-GB"/>
        </w:rPr>
        <w:t xml:space="preserve">tyle and </w:t>
      </w:r>
      <w:r w:rsidR="003460A0">
        <w:rPr>
          <w:rFonts w:ascii="Helvetica" w:eastAsia="Times New Roman" w:hAnsi="Helvetica" w:cs="Helvetica"/>
          <w:b/>
          <w:bCs/>
          <w:sz w:val="28"/>
          <w:szCs w:val="28"/>
          <w:u w:val="single"/>
          <w:lang w:eastAsia="en-GB"/>
        </w:rPr>
        <w:t>S</w:t>
      </w:r>
      <w:r w:rsidR="00236D0D" w:rsidRPr="003460A0">
        <w:rPr>
          <w:rFonts w:ascii="Helvetica" w:eastAsia="Times New Roman" w:hAnsi="Helvetica" w:cs="Helvetica"/>
          <w:b/>
          <w:bCs/>
          <w:sz w:val="28"/>
          <w:szCs w:val="28"/>
          <w:u w:val="single"/>
          <w:lang w:eastAsia="en-GB"/>
        </w:rPr>
        <w:t xml:space="preserve">entence </w:t>
      </w:r>
      <w:r w:rsidR="003460A0">
        <w:rPr>
          <w:rFonts w:ascii="Helvetica" w:eastAsia="Times New Roman" w:hAnsi="Helvetica" w:cs="Helvetica"/>
          <w:b/>
          <w:bCs/>
          <w:sz w:val="28"/>
          <w:szCs w:val="28"/>
          <w:u w:val="single"/>
          <w:lang w:eastAsia="en-GB"/>
        </w:rPr>
        <w:t>S</w:t>
      </w:r>
      <w:r w:rsidR="00236D0D" w:rsidRPr="003460A0">
        <w:rPr>
          <w:rFonts w:ascii="Helvetica" w:eastAsia="Times New Roman" w:hAnsi="Helvetica" w:cs="Helvetica"/>
          <w:b/>
          <w:bCs/>
          <w:sz w:val="28"/>
          <w:szCs w:val="28"/>
          <w:u w:val="single"/>
          <w:lang w:eastAsia="en-GB"/>
        </w:rPr>
        <w:t>tructure</w:t>
      </w:r>
    </w:p>
    <w:p w14:paraId="67DDDDDE" w14:textId="77777777" w:rsidR="00236D0D" w:rsidRPr="00236D0D" w:rsidRDefault="00236D0D" w:rsidP="00236D0D">
      <w:pPr>
        <w:spacing w:before="100" w:beforeAutospacing="1" w:after="100" w:afterAutospacing="1" w:line="240" w:lineRule="auto"/>
        <w:ind w:left="-567"/>
        <w:rPr>
          <w:rFonts w:ascii="Helvetica" w:eastAsia="Times New Roman" w:hAnsi="Helvetica" w:cs="Helvetica"/>
          <w:sz w:val="28"/>
          <w:szCs w:val="28"/>
          <w:lang w:eastAsia="en-GB"/>
        </w:rPr>
      </w:pPr>
      <w:r w:rsidRPr="00236D0D">
        <w:rPr>
          <w:rFonts w:ascii="Helvetica" w:eastAsia="Times New Roman" w:hAnsi="Helvetica" w:cs="Helvetica"/>
          <w:sz w:val="28"/>
          <w:szCs w:val="28"/>
          <w:lang w:eastAsia="en-GB"/>
        </w:rPr>
        <w:t xml:space="preserve">At the beginning of Act One Mr Birling, specifically during the dinner party, dominates the conversation. He has long, dogmatic speeches in which he arrogantly delivers narrow-minded and ill-informed views concerning class and politics. At this point, Priestley uses Birling to convey the power of the upper class in Edwardian England in 1912, and to suggest the hubris of that class. They believe they are unassailable and, immersed in colonial and class attitudes of Empire, assume that they cannot be challenged. By giving Mr Birling such extensive and uninterrupted speeches at the beginning of the play, Priestley </w:t>
      </w:r>
      <w:proofErr w:type="gramStart"/>
      <w:r w:rsidRPr="00236D0D">
        <w:rPr>
          <w:rFonts w:ascii="Helvetica" w:eastAsia="Times New Roman" w:hAnsi="Helvetica" w:cs="Helvetica"/>
          <w:sz w:val="28"/>
          <w:szCs w:val="28"/>
          <w:lang w:eastAsia="en-GB"/>
        </w:rPr>
        <w:t>is able to</w:t>
      </w:r>
      <w:proofErr w:type="gramEnd"/>
      <w:r w:rsidRPr="00236D0D">
        <w:rPr>
          <w:rFonts w:ascii="Helvetica" w:eastAsia="Times New Roman" w:hAnsi="Helvetica" w:cs="Helvetica"/>
          <w:sz w:val="28"/>
          <w:szCs w:val="28"/>
          <w:lang w:eastAsia="en-GB"/>
        </w:rPr>
        <w:t xml:space="preserve"> establish the dominance of the upper class, and draw attention to its selfish, capitalist agenda. </w:t>
      </w:r>
    </w:p>
    <w:p w14:paraId="459586BC" w14:textId="77777777" w:rsidR="00236D0D" w:rsidRPr="00236D0D" w:rsidRDefault="00236D0D" w:rsidP="00236D0D">
      <w:pPr>
        <w:spacing w:before="100" w:beforeAutospacing="1" w:after="100" w:afterAutospacing="1" w:line="240" w:lineRule="auto"/>
        <w:ind w:left="-567"/>
        <w:rPr>
          <w:rFonts w:ascii="Helvetica" w:eastAsia="Times New Roman" w:hAnsi="Helvetica" w:cs="Helvetica"/>
          <w:sz w:val="28"/>
          <w:szCs w:val="28"/>
          <w:lang w:eastAsia="en-GB"/>
        </w:rPr>
      </w:pPr>
      <w:r w:rsidRPr="00236D0D">
        <w:rPr>
          <w:rFonts w:ascii="Helvetica" w:eastAsia="Times New Roman" w:hAnsi="Helvetica" w:cs="Helvetica"/>
          <w:sz w:val="28"/>
          <w:szCs w:val="28"/>
          <w:lang w:eastAsia="en-GB"/>
        </w:rPr>
        <w:t xml:space="preserve">Interestingly, Mr Birling only speaks at such length and with such fluency in this first scene. Once the Inspector arrives, and through the rest of the play, his lines are constantly interrupted or cut off, often by the Inspector or by Sheila, who begins to act as a proxy for the Inspector and his views. He is never really allowed the linguistic space he had in the dinner party scene. His final words in the play are consistently truncated and interrupted. The hyphens, questions and pauses along with the unfinished sentences communicate his diminished power and failing authority. </w:t>
      </w:r>
    </w:p>
    <w:p w14:paraId="7A831343" w14:textId="3CC27E0C" w:rsidR="00236D0D" w:rsidRDefault="00236D0D" w:rsidP="00236D0D">
      <w:pPr>
        <w:spacing w:before="100" w:beforeAutospacing="1" w:after="100" w:afterAutospacing="1" w:line="240" w:lineRule="auto"/>
        <w:ind w:left="-567"/>
        <w:rPr>
          <w:rFonts w:ascii="Helvetica" w:eastAsia="Times New Roman" w:hAnsi="Helvetica" w:cs="Helvetica"/>
          <w:sz w:val="28"/>
          <w:szCs w:val="28"/>
          <w:lang w:eastAsia="en-GB"/>
        </w:rPr>
      </w:pPr>
      <w:r w:rsidRPr="00236D0D">
        <w:rPr>
          <w:rFonts w:ascii="Helvetica" w:eastAsia="Times New Roman" w:hAnsi="Helvetica" w:cs="Helvetica"/>
          <w:sz w:val="28"/>
          <w:szCs w:val="28"/>
          <w:lang w:eastAsia="en-GB"/>
        </w:rPr>
        <w:t>The way in which Priestley constructs Birling’s voice is significant as it represents broader themes. Through the shift in style and sentence structure, from lengthy, supercilious speeches to tentative, halting, interrupted constructions, Priestley is able to communicate how Mr Birling's power is threatened, and then diminished as a consequence of the forces working against him. This is the case both in the microcosm, as exemplified by the Inspector, whose compassionate socialism is a direct challenge to Mr Birling's brutal capitalism; and in the macrocosm as Britain, exhausted by two world wars, looks to a new political agenda to shape society in the form of the Labour Party and, as a consequence, Britain's class system will dilute and evolve.</w:t>
      </w:r>
    </w:p>
    <w:p w14:paraId="0C6A5786" w14:textId="2FC4C055" w:rsidR="00A77FA5" w:rsidRPr="00B51CE2" w:rsidRDefault="00D314CE" w:rsidP="00236D0D">
      <w:pPr>
        <w:spacing w:before="100" w:beforeAutospacing="1" w:after="100" w:afterAutospacing="1" w:line="240" w:lineRule="auto"/>
        <w:ind w:left="-567"/>
        <w:rPr>
          <w:rFonts w:ascii="Helvetica" w:eastAsia="Times New Roman" w:hAnsi="Helvetica" w:cs="Helvetica"/>
          <w:i/>
          <w:iCs/>
          <w:sz w:val="28"/>
          <w:szCs w:val="28"/>
        </w:rPr>
      </w:pPr>
      <w:r w:rsidRPr="00B51CE2">
        <w:rPr>
          <w:rFonts w:ascii="Helvetica" w:eastAsia="Times New Roman" w:hAnsi="Helvetica" w:cs="Helvetica"/>
          <w:i/>
          <w:iCs/>
          <w:sz w:val="28"/>
          <w:szCs w:val="28"/>
          <w:lang w:eastAsia="en-GB"/>
        </w:rPr>
        <w:t xml:space="preserve">© </w:t>
      </w:r>
      <w:r w:rsidRPr="00B51CE2">
        <w:rPr>
          <w:rFonts w:ascii="Helvetica" w:eastAsia="Times New Roman" w:hAnsi="Helvetica" w:cs="Helvetica"/>
          <w:i/>
          <w:iCs/>
          <w:sz w:val="28"/>
          <w:szCs w:val="28"/>
        </w:rPr>
        <w:t>@mrsmacteach33</w:t>
      </w:r>
      <w:r w:rsidRPr="00B51CE2">
        <w:rPr>
          <w:rFonts w:ascii="Helvetica" w:eastAsia="Times New Roman" w:hAnsi="Helvetica" w:cs="Helvetica"/>
          <w:i/>
          <w:iCs/>
          <w:sz w:val="28"/>
          <w:szCs w:val="28"/>
        </w:rPr>
        <w:t xml:space="preserve"> in collaboration with The Quotation Bank</w:t>
      </w:r>
      <w:r w:rsidR="007753E1" w:rsidRPr="00B51CE2">
        <w:rPr>
          <w:rFonts w:ascii="Helvetica" w:eastAsia="Times New Roman" w:hAnsi="Helvetica" w:cs="Helvetica"/>
          <w:i/>
          <w:iCs/>
          <w:sz w:val="28"/>
          <w:szCs w:val="28"/>
        </w:rPr>
        <w:t>.</w:t>
      </w:r>
      <w:r w:rsidRPr="00B51CE2">
        <w:rPr>
          <w:rFonts w:ascii="Helvetica" w:eastAsia="Times New Roman" w:hAnsi="Helvetica" w:cs="Helvetica"/>
          <w:i/>
          <w:iCs/>
          <w:sz w:val="28"/>
          <w:szCs w:val="28"/>
        </w:rPr>
        <w:t xml:space="preserve"> </w:t>
      </w:r>
    </w:p>
    <w:sectPr w:rsidR="00A77FA5" w:rsidRPr="00B51CE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71D7" w14:textId="77777777" w:rsidR="003413E0" w:rsidRDefault="003413E0" w:rsidP="00A24B55">
      <w:pPr>
        <w:spacing w:after="0" w:line="240" w:lineRule="auto"/>
      </w:pPr>
      <w:r>
        <w:separator/>
      </w:r>
    </w:p>
  </w:endnote>
  <w:endnote w:type="continuationSeparator" w:id="0">
    <w:p w14:paraId="74A7115E" w14:textId="77777777" w:rsidR="003413E0" w:rsidRDefault="003413E0" w:rsidP="00A2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4093" w14:textId="7392E9ED" w:rsidR="00A24B55" w:rsidRDefault="00A24B55">
    <w:pPr>
      <w:pStyle w:val="Footer"/>
    </w:pPr>
    <w:r w:rsidRPr="00464D1E">
      <w:rPr>
        <w:rFonts w:ascii="Helvetica" w:hAnsi="Helvetica" w:cs="Helvetica"/>
        <w:noProof/>
      </w:rPr>
      <w:drawing>
        <wp:anchor distT="0" distB="0" distL="114300" distR="114300" simplePos="0" relativeHeight="251659264" behindDoc="0" locked="0" layoutInCell="1" allowOverlap="1" wp14:anchorId="66251DE9" wp14:editId="22327970">
          <wp:simplePos x="0" y="0"/>
          <wp:positionH relativeFrom="column">
            <wp:posOffset>-571500</wp:posOffset>
          </wp:positionH>
          <wp:positionV relativeFrom="paragraph">
            <wp:posOffset>-257175</wp:posOffset>
          </wp:positionV>
          <wp:extent cx="6671734" cy="619433"/>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B2DF" w14:textId="77777777" w:rsidR="003413E0" w:rsidRDefault="003413E0" w:rsidP="00A24B55">
      <w:pPr>
        <w:spacing w:after="0" w:line="240" w:lineRule="auto"/>
      </w:pPr>
      <w:r>
        <w:separator/>
      </w:r>
    </w:p>
  </w:footnote>
  <w:footnote w:type="continuationSeparator" w:id="0">
    <w:p w14:paraId="792649E2" w14:textId="77777777" w:rsidR="003413E0" w:rsidRDefault="003413E0" w:rsidP="00A24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258"/>
    <w:multiLevelType w:val="hybridMultilevel"/>
    <w:tmpl w:val="353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D1367"/>
    <w:multiLevelType w:val="hybridMultilevel"/>
    <w:tmpl w:val="32F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1"/>
    <w:rsid w:val="00033E52"/>
    <w:rsid w:val="00035A31"/>
    <w:rsid w:val="000A65D7"/>
    <w:rsid w:val="000B4107"/>
    <w:rsid w:val="000D52F9"/>
    <w:rsid w:val="000E5F7B"/>
    <w:rsid w:val="000F4597"/>
    <w:rsid w:val="0013168A"/>
    <w:rsid w:val="00186155"/>
    <w:rsid w:val="001957C3"/>
    <w:rsid w:val="001A50D1"/>
    <w:rsid w:val="001A512C"/>
    <w:rsid w:val="001E1004"/>
    <w:rsid w:val="00201C7A"/>
    <w:rsid w:val="00217EB5"/>
    <w:rsid w:val="00236D0D"/>
    <w:rsid w:val="00263AAB"/>
    <w:rsid w:val="002751CC"/>
    <w:rsid w:val="00284174"/>
    <w:rsid w:val="002B1516"/>
    <w:rsid w:val="002B6DBE"/>
    <w:rsid w:val="002E6864"/>
    <w:rsid w:val="002E75BF"/>
    <w:rsid w:val="003133A4"/>
    <w:rsid w:val="003413E0"/>
    <w:rsid w:val="003460A0"/>
    <w:rsid w:val="00350FD5"/>
    <w:rsid w:val="00352590"/>
    <w:rsid w:val="003A5973"/>
    <w:rsid w:val="003F0F24"/>
    <w:rsid w:val="00450DFD"/>
    <w:rsid w:val="004A5523"/>
    <w:rsid w:val="004B01E7"/>
    <w:rsid w:val="004F277A"/>
    <w:rsid w:val="00535308"/>
    <w:rsid w:val="00550304"/>
    <w:rsid w:val="00563C95"/>
    <w:rsid w:val="00585FAA"/>
    <w:rsid w:val="00590C6B"/>
    <w:rsid w:val="005C10E1"/>
    <w:rsid w:val="00621EFC"/>
    <w:rsid w:val="00630EC8"/>
    <w:rsid w:val="00656F51"/>
    <w:rsid w:val="006A04A9"/>
    <w:rsid w:val="006B3010"/>
    <w:rsid w:val="00700183"/>
    <w:rsid w:val="00707CF9"/>
    <w:rsid w:val="007164B0"/>
    <w:rsid w:val="007178CF"/>
    <w:rsid w:val="00740548"/>
    <w:rsid w:val="00762B4B"/>
    <w:rsid w:val="007753E1"/>
    <w:rsid w:val="007A4F11"/>
    <w:rsid w:val="007E4456"/>
    <w:rsid w:val="007F5155"/>
    <w:rsid w:val="00813177"/>
    <w:rsid w:val="00846DD9"/>
    <w:rsid w:val="008729CE"/>
    <w:rsid w:val="0088488A"/>
    <w:rsid w:val="00897BA8"/>
    <w:rsid w:val="008B6835"/>
    <w:rsid w:val="008C179C"/>
    <w:rsid w:val="008D3E56"/>
    <w:rsid w:val="008D6CE5"/>
    <w:rsid w:val="0091236E"/>
    <w:rsid w:val="00980E24"/>
    <w:rsid w:val="00983850"/>
    <w:rsid w:val="00986675"/>
    <w:rsid w:val="009A734E"/>
    <w:rsid w:val="009D00F4"/>
    <w:rsid w:val="009D70EC"/>
    <w:rsid w:val="009F3912"/>
    <w:rsid w:val="009F5B9E"/>
    <w:rsid w:val="00A14762"/>
    <w:rsid w:val="00A24B55"/>
    <w:rsid w:val="00A467A3"/>
    <w:rsid w:val="00A74EF1"/>
    <w:rsid w:val="00A77FA5"/>
    <w:rsid w:val="00A83288"/>
    <w:rsid w:val="00A86431"/>
    <w:rsid w:val="00A9167B"/>
    <w:rsid w:val="00AB1730"/>
    <w:rsid w:val="00AC39CE"/>
    <w:rsid w:val="00B0137C"/>
    <w:rsid w:val="00B51CE2"/>
    <w:rsid w:val="00B81135"/>
    <w:rsid w:val="00BD3574"/>
    <w:rsid w:val="00C22A01"/>
    <w:rsid w:val="00C63805"/>
    <w:rsid w:val="00C766B0"/>
    <w:rsid w:val="00CE2DD7"/>
    <w:rsid w:val="00D22654"/>
    <w:rsid w:val="00D314CE"/>
    <w:rsid w:val="00D46D0A"/>
    <w:rsid w:val="00D828F7"/>
    <w:rsid w:val="00D96FD8"/>
    <w:rsid w:val="00E00DE2"/>
    <w:rsid w:val="00E16037"/>
    <w:rsid w:val="00E212EA"/>
    <w:rsid w:val="00E278B2"/>
    <w:rsid w:val="00E33737"/>
    <w:rsid w:val="00E34CB5"/>
    <w:rsid w:val="00E5101B"/>
    <w:rsid w:val="00E74343"/>
    <w:rsid w:val="00E85B48"/>
    <w:rsid w:val="00EA1DB3"/>
    <w:rsid w:val="00EA6654"/>
    <w:rsid w:val="00EB5925"/>
    <w:rsid w:val="00EE60D3"/>
    <w:rsid w:val="00F573D7"/>
    <w:rsid w:val="00F62FE3"/>
    <w:rsid w:val="00F66847"/>
    <w:rsid w:val="00F73DF7"/>
    <w:rsid w:val="00F85BBF"/>
    <w:rsid w:val="00F86A7E"/>
    <w:rsid w:val="00FA65B9"/>
    <w:rsid w:val="00FD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610A"/>
  <w15:chartTrackingRefBased/>
  <w15:docId w15:val="{9B267541-9CD6-486F-8540-E8E4C72D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56F51"/>
    <w:rPr>
      <w:color w:val="0000FF"/>
      <w:u w:val="single"/>
    </w:rPr>
  </w:style>
  <w:style w:type="paragraph" w:styleId="ListParagraph">
    <w:name w:val="List Paragraph"/>
    <w:basedOn w:val="Normal"/>
    <w:uiPriority w:val="34"/>
    <w:qFormat/>
    <w:rsid w:val="004A5523"/>
    <w:pPr>
      <w:ind w:left="720"/>
      <w:contextualSpacing/>
    </w:pPr>
  </w:style>
  <w:style w:type="paragraph" w:styleId="Header">
    <w:name w:val="header"/>
    <w:basedOn w:val="Normal"/>
    <w:link w:val="HeaderChar"/>
    <w:uiPriority w:val="99"/>
    <w:unhideWhenUsed/>
    <w:rsid w:val="00A24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55"/>
  </w:style>
  <w:style w:type="paragraph" w:styleId="Footer">
    <w:name w:val="footer"/>
    <w:basedOn w:val="Normal"/>
    <w:link w:val="FooterChar"/>
    <w:uiPriority w:val="99"/>
    <w:unhideWhenUsed/>
    <w:rsid w:val="00A24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325">
      <w:bodyDiv w:val="1"/>
      <w:marLeft w:val="0"/>
      <w:marRight w:val="0"/>
      <w:marTop w:val="0"/>
      <w:marBottom w:val="0"/>
      <w:divBdr>
        <w:top w:val="none" w:sz="0" w:space="0" w:color="auto"/>
        <w:left w:val="none" w:sz="0" w:space="0" w:color="auto"/>
        <w:bottom w:val="none" w:sz="0" w:space="0" w:color="auto"/>
        <w:right w:val="none" w:sz="0" w:space="0" w:color="auto"/>
      </w:divBdr>
      <w:divsChild>
        <w:div w:id="224993342">
          <w:marLeft w:val="0"/>
          <w:marRight w:val="0"/>
          <w:marTop w:val="0"/>
          <w:marBottom w:val="0"/>
          <w:divBdr>
            <w:top w:val="none" w:sz="0" w:space="0" w:color="auto"/>
            <w:left w:val="none" w:sz="0" w:space="0" w:color="auto"/>
            <w:bottom w:val="none" w:sz="0" w:space="0" w:color="auto"/>
            <w:right w:val="none" w:sz="0" w:space="0" w:color="auto"/>
          </w:divBdr>
        </w:div>
        <w:div w:id="156259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38176">
              <w:marLeft w:val="0"/>
              <w:marRight w:val="0"/>
              <w:marTop w:val="0"/>
              <w:marBottom w:val="0"/>
              <w:divBdr>
                <w:top w:val="none" w:sz="0" w:space="0" w:color="auto"/>
                <w:left w:val="none" w:sz="0" w:space="0" w:color="auto"/>
                <w:bottom w:val="none" w:sz="0" w:space="0" w:color="auto"/>
                <w:right w:val="none" w:sz="0" w:space="0" w:color="auto"/>
              </w:divBdr>
              <w:divsChild>
                <w:div w:id="20290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quotationban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thequotationban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7" ma:contentTypeDescription="Create a new document." ma:contentTypeScope="" ma:versionID="de0d647a301ecd9065de6c7423da8148">
  <xsd:schema xmlns:xsd="http://www.w3.org/2001/XMLSchema" xmlns:xs="http://www.w3.org/2001/XMLSchema" xmlns:p="http://schemas.microsoft.com/office/2006/metadata/properties" xmlns:ns3="bf9c44bf-8865-49d2-9dd1-ab6b98f49eba" targetNamespace="http://schemas.microsoft.com/office/2006/metadata/properties" ma:root="true" ma:fieldsID="1c2c4fda398633757ca8878941d03a7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D38DF-0A96-400F-A55A-32013007FBCD}">
  <ds:schemaRefs>
    <ds:schemaRef ds:uri="http://schemas.openxmlformats.org/officeDocument/2006/bibliography"/>
  </ds:schemaRefs>
</ds:datastoreItem>
</file>

<file path=customXml/itemProps2.xml><?xml version="1.0" encoding="utf-8"?>
<ds:datastoreItem xmlns:ds="http://schemas.openxmlformats.org/officeDocument/2006/customXml" ds:itemID="{F6B814D4-DF77-4AD9-B72D-28F2742BE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F74AC-703A-403A-9760-630D06B8D479}">
  <ds:schemaRefs>
    <ds:schemaRef ds:uri="http://schemas.microsoft.com/sharepoint/v3/contenttype/forms"/>
  </ds:schemaRefs>
</ds:datastoreItem>
</file>

<file path=customXml/itemProps4.xml><?xml version="1.0" encoding="utf-8"?>
<ds:datastoreItem xmlns:ds="http://schemas.openxmlformats.org/officeDocument/2006/customXml" ds:itemID="{5AE61642-5AB8-4B1E-BC23-5F5972F5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Quotation Bank</dc:creator>
  <cp:keywords/>
  <dc:description/>
  <cp:lastModifiedBy>Quotation Bank</cp:lastModifiedBy>
  <cp:revision>17</cp:revision>
  <dcterms:created xsi:type="dcterms:W3CDTF">2021-12-15T17:22:00Z</dcterms:created>
  <dcterms:modified xsi:type="dcterms:W3CDTF">2021-12-16T09:13:00Z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