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A6E7" w14:textId="634C614E" w:rsidR="00656F51" w:rsidRPr="00F95DC9" w:rsidRDefault="00033E52" w:rsidP="00B756E7">
      <w:pPr>
        <w:spacing w:beforeAutospacing="1" w:after="100" w:afterAutospacing="1" w:line="240" w:lineRule="auto"/>
        <w:jc w:val="center"/>
        <w:rPr>
          <w:rFonts w:ascii="Helvetica" w:eastAsia="Times New Roman" w:hAnsi="Helvetica" w:cs="Times New Roman"/>
          <w:b/>
          <w:bCs/>
          <w:sz w:val="40"/>
          <w:szCs w:val="40"/>
          <w:u w:val="single"/>
          <w:lang w:eastAsia="en-GB"/>
        </w:rPr>
      </w:pPr>
      <w:r w:rsidRPr="00F95DC9">
        <w:rPr>
          <w:rFonts w:ascii="Helvetica" w:eastAsia="Times New Roman" w:hAnsi="Helvetica" w:cs="Times New Roman"/>
          <w:noProof/>
          <w:sz w:val="40"/>
          <w:szCs w:val="40"/>
          <w:lang w:eastAsia="en-GB"/>
        </w:rPr>
        <w:drawing>
          <wp:anchor distT="0" distB="0" distL="114300" distR="114300" simplePos="0" relativeHeight="251654656" behindDoc="0" locked="0" layoutInCell="1" allowOverlap="1" wp14:anchorId="10F5F3B0" wp14:editId="113C2292">
            <wp:simplePos x="0" y="0"/>
            <wp:positionH relativeFrom="column">
              <wp:posOffset>-850605</wp:posOffset>
            </wp:positionH>
            <wp:positionV relativeFrom="paragraph">
              <wp:posOffset>0</wp:posOffset>
            </wp:positionV>
            <wp:extent cx="7412559" cy="1260135"/>
            <wp:effectExtent l="0" t="0" r="0" b="0"/>
            <wp:wrapThrough wrapText="bothSides">
              <wp:wrapPolygon edited="0">
                <wp:start x="0" y="0"/>
                <wp:lineTo x="0" y="21230"/>
                <wp:lineTo x="21539" y="21230"/>
                <wp:lineTo x="2153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2559" cy="1260135"/>
                    </a:xfrm>
                    <a:prstGeom prst="rect">
                      <a:avLst/>
                    </a:prstGeom>
                  </pic:spPr>
                </pic:pic>
              </a:graphicData>
            </a:graphic>
            <wp14:sizeRelH relativeFrom="margin">
              <wp14:pctWidth>0</wp14:pctWidth>
            </wp14:sizeRelH>
            <wp14:sizeRelV relativeFrom="margin">
              <wp14:pctHeight>0</wp14:pctHeight>
            </wp14:sizeRelV>
          </wp:anchor>
        </w:drawing>
      </w:r>
      <w:r w:rsidR="009F3912" w:rsidRPr="00F95DC9">
        <w:rPr>
          <w:rFonts w:ascii="Helvetica" w:eastAsia="Times New Roman" w:hAnsi="Helvetica" w:cs="Times New Roman"/>
          <w:b/>
          <w:bCs/>
          <w:sz w:val="40"/>
          <w:szCs w:val="40"/>
          <w:u w:val="single"/>
          <w:lang w:eastAsia="en-GB"/>
        </w:rPr>
        <w:t>S</w:t>
      </w:r>
      <w:r w:rsidR="00656F51" w:rsidRPr="00F95DC9">
        <w:rPr>
          <w:rFonts w:ascii="Helvetica" w:eastAsia="Times New Roman" w:hAnsi="Helvetica" w:cs="Times New Roman"/>
          <w:b/>
          <w:bCs/>
          <w:sz w:val="40"/>
          <w:szCs w:val="40"/>
          <w:u w:val="single"/>
          <w:lang w:eastAsia="en-GB"/>
        </w:rPr>
        <w:t xml:space="preserve">ignificance of the </w:t>
      </w:r>
      <w:r w:rsidR="009F3912" w:rsidRPr="00F95DC9">
        <w:rPr>
          <w:rFonts w:ascii="Helvetica" w:eastAsia="Times New Roman" w:hAnsi="Helvetica" w:cs="Times New Roman"/>
          <w:b/>
          <w:bCs/>
          <w:sz w:val="40"/>
          <w:szCs w:val="40"/>
          <w:u w:val="single"/>
          <w:lang w:eastAsia="en-GB"/>
        </w:rPr>
        <w:t>I</w:t>
      </w:r>
      <w:r w:rsidR="00656F51" w:rsidRPr="00F95DC9">
        <w:rPr>
          <w:rFonts w:ascii="Helvetica" w:eastAsia="Times New Roman" w:hAnsi="Helvetica" w:cs="Times New Roman"/>
          <w:b/>
          <w:bCs/>
          <w:sz w:val="40"/>
          <w:szCs w:val="40"/>
          <w:u w:val="single"/>
          <w:lang w:eastAsia="en-GB"/>
        </w:rPr>
        <w:t>nsignificant</w:t>
      </w:r>
    </w:p>
    <w:p w14:paraId="3C1E31AC" w14:textId="1B4FDB7B" w:rsidR="00656F51" w:rsidRPr="00F95DC9" w:rsidRDefault="00656F51" w:rsidP="00656F51">
      <w:pPr>
        <w:spacing w:before="100" w:beforeAutospacing="1" w:after="100" w:afterAutospacing="1" w:line="240" w:lineRule="auto"/>
        <w:rPr>
          <w:rFonts w:ascii="Helvetica" w:eastAsia="Times New Roman" w:hAnsi="Helvetica" w:cs="Times New Roman"/>
          <w:sz w:val="26"/>
          <w:szCs w:val="26"/>
          <w:lang w:eastAsia="en-GB"/>
        </w:rPr>
      </w:pPr>
      <w:r w:rsidRPr="00F95DC9">
        <w:rPr>
          <w:rFonts w:ascii="Helvetica" w:eastAsia="Times New Roman" w:hAnsi="Helvetica" w:cs="Times New Roman"/>
          <w:sz w:val="26"/>
          <w:szCs w:val="26"/>
          <w:lang w:eastAsia="en-GB"/>
        </w:rPr>
        <w:t xml:space="preserve">In recent years, </w:t>
      </w:r>
      <w:r w:rsidR="00350FD5" w:rsidRPr="00F95DC9">
        <w:rPr>
          <w:rFonts w:ascii="Helvetica" w:eastAsia="Times New Roman" w:hAnsi="Helvetica" w:cs="Times New Roman"/>
          <w:sz w:val="26"/>
          <w:szCs w:val="26"/>
          <w:lang w:eastAsia="en-GB"/>
        </w:rPr>
        <w:t xml:space="preserve">some </w:t>
      </w:r>
      <w:r w:rsidRPr="00F95DC9">
        <w:rPr>
          <w:rFonts w:ascii="Helvetica" w:eastAsia="Times New Roman" w:hAnsi="Helvetica" w:cs="Times New Roman"/>
          <w:sz w:val="26"/>
          <w:szCs w:val="26"/>
          <w:lang w:eastAsia="en-GB"/>
        </w:rPr>
        <w:t xml:space="preserve">English Literature GCSE and A-Level exam questions have asked students to focus on areas of a set text that </w:t>
      </w:r>
      <w:r w:rsidR="00350FD5" w:rsidRPr="00F95DC9">
        <w:rPr>
          <w:rFonts w:ascii="Helvetica" w:eastAsia="Times New Roman" w:hAnsi="Helvetica" w:cs="Times New Roman"/>
          <w:sz w:val="26"/>
          <w:szCs w:val="26"/>
          <w:lang w:eastAsia="en-GB"/>
        </w:rPr>
        <w:t>perhaps</w:t>
      </w:r>
      <w:r w:rsidRPr="00F95DC9">
        <w:rPr>
          <w:rFonts w:ascii="Helvetica" w:eastAsia="Times New Roman" w:hAnsi="Helvetica" w:cs="Times New Roman"/>
          <w:sz w:val="26"/>
          <w:szCs w:val="26"/>
          <w:lang w:eastAsia="en-GB"/>
        </w:rPr>
        <w:t xml:space="preserve"> diverge from the "main" thematic or character-based concerns of the text. </w:t>
      </w:r>
    </w:p>
    <w:p w14:paraId="4244097F" w14:textId="42625DEF" w:rsidR="00656F51" w:rsidRPr="00F95DC9" w:rsidRDefault="00656F51" w:rsidP="00656F51">
      <w:pPr>
        <w:spacing w:before="100" w:beforeAutospacing="1" w:after="100" w:afterAutospacing="1" w:line="240" w:lineRule="auto"/>
        <w:rPr>
          <w:rFonts w:ascii="Helvetica" w:eastAsia="Times New Roman" w:hAnsi="Helvetica" w:cs="Times New Roman"/>
          <w:sz w:val="26"/>
          <w:szCs w:val="26"/>
          <w:lang w:eastAsia="en-GB"/>
        </w:rPr>
      </w:pPr>
      <w:r w:rsidRPr="00F95DC9">
        <w:rPr>
          <w:rFonts w:ascii="Helvetica" w:eastAsia="Times New Roman" w:hAnsi="Helvetica" w:cs="Times New Roman"/>
          <w:sz w:val="26"/>
          <w:szCs w:val="26"/>
          <w:lang w:eastAsia="en-GB"/>
        </w:rPr>
        <w:t>It is important teachers note that exam boards make explicit the fact that questions and extracts can come from ANYWHERE IN A TEXT - therefore, skipping over the seemingly insignificant is not necessarily a sensible idea.</w:t>
      </w:r>
    </w:p>
    <w:p w14:paraId="62064D6E" w14:textId="4B66C40B" w:rsidR="00656F51" w:rsidRPr="00F95DC9" w:rsidRDefault="00350FD5" w:rsidP="00656F51">
      <w:pPr>
        <w:spacing w:before="100" w:beforeAutospacing="1" w:after="100" w:afterAutospacing="1" w:line="240" w:lineRule="auto"/>
        <w:rPr>
          <w:rFonts w:ascii="Helvetica" w:eastAsia="Times New Roman" w:hAnsi="Helvetica" w:cs="Times New Roman"/>
          <w:sz w:val="26"/>
          <w:szCs w:val="26"/>
          <w:lang w:eastAsia="en-GB"/>
        </w:rPr>
      </w:pPr>
      <w:r w:rsidRPr="00F95DC9">
        <w:rPr>
          <w:rFonts w:ascii="Helvetica" w:eastAsia="Times New Roman" w:hAnsi="Helvetica" w:cs="Times New Roman"/>
          <w:sz w:val="26"/>
          <w:szCs w:val="26"/>
          <w:lang w:eastAsia="en-GB"/>
        </w:rPr>
        <w:t>Learning</w:t>
      </w:r>
      <w:r w:rsidR="00656F51" w:rsidRPr="00F95DC9">
        <w:rPr>
          <w:rFonts w:ascii="Helvetica" w:eastAsia="Times New Roman" w:hAnsi="Helvetica" w:cs="Times New Roman"/>
          <w:sz w:val="26"/>
          <w:szCs w:val="26"/>
          <w:lang w:eastAsia="en-GB"/>
        </w:rPr>
        <w:t xml:space="preserve"> time is limited, and it is logical to spend quality time on "key" sections of a text. To that end, we </w:t>
      </w:r>
      <w:r w:rsidRPr="00F95DC9">
        <w:rPr>
          <w:rFonts w:ascii="Helvetica" w:eastAsia="Times New Roman" w:hAnsi="Helvetica" w:cs="Times New Roman"/>
          <w:sz w:val="26"/>
          <w:szCs w:val="26"/>
          <w:lang w:eastAsia="en-GB"/>
        </w:rPr>
        <w:t>have</w:t>
      </w:r>
      <w:r w:rsidR="00656F51" w:rsidRPr="00F95DC9">
        <w:rPr>
          <w:rFonts w:ascii="Helvetica" w:eastAsia="Times New Roman" w:hAnsi="Helvetica" w:cs="Times New Roman"/>
          <w:sz w:val="26"/>
          <w:szCs w:val="26"/>
          <w:lang w:eastAsia="en-GB"/>
        </w:rPr>
        <w:t xml:space="preserve"> provide</w:t>
      </w:r>
      <w:r w:rsidRPr="00F95DC9">
        <w:rPr>
          <w:rFonts w:ascii="Helvetica" w:eastAsia="Times New Roman" w:hAnsi="Helvetica" w:cs="Times New Roman"/>
          <w:sz w:val="26"/>
          <w:szCs w:val="26"/>
          <w:lang w:eastAsia="en-GB"/>
        </w:rPr>
        <w:t>d</w:t>
      </w:r>
      <w:r w:rsidR="00656F51" w:rsidRPr="00F95DC9">
        <w:rPr>
          <w:rFonts w:ascii="Helvetica" w:eastAsia="Times New Roman" w:hAnsi="Helvetica" w:cs="Times New Roman"/>
          <w:sz w:val="26"/>
          <w:szCs w:val="26"/>
          <w:lang w:eastAsia="en-GB"/>
        </w:rPr>
        <w:t xml:space="preserve"> brief analysis of </w:t>
      </w:r>
      <w:r w:rsidR="00656F51" w:rsidRPr="00F95DC9">
        <w:rPr>
          <w:rFonts w:ascii="Helvetica" w:eastAsia="Times New Roman" w:hAnsi="Helvetica" w:cs="Times New Roman"/>
          <w:b/>
          <w:bCs/>
          <w:i/>
          <w:iCs/>
          <w:sz w:val="26"/>
          <w:szCs w:val="26"/>
          <w:lang w:eastAsia="en-GB"/>
        </w:rPr>
        <w:t>'insignificant scenes of significance'</w:t>
      </w:r>
      <w:r w:rsidR="00656F51" w:rsidRPr="00F95DC9">
        <w:rPr>
          <w:rFonts w:ascii="Helvetica" w:eastAsia="Times New Roman" w:hAnsi="Helvetica" w:cs="Times New Roman"/>
          <w:sz w:val="26"/>
          <w:szCs w:val="26"/>
          <w:lang w:eastAsia="en-GB"/>
        </w:rPr>
        <w:t xml:space="preserve"> for</w:t>
      </w:r>
      <w:r w:rsidRPr="00F95DC9">
        <w:rPr>
          <w:rFonts w:ascii="Helvetica" w:eastAsia="Times New Roman" w:hAnsi="Helvetica" w:cs="Times New Roman"/>
          <w:sz w:val="26"/>
          <w:szCs w:val="26"/>
          <w:lang w:eastAsia="en-GB"/>
        </w:rPr>
        <w:t xml:space="preserve"> </w:t>
      </w:r>
      <w:r w:rsidR="008D6CE5" w:rsidRPr="00F95DC9">
        <w:rPr>
          <w:rFonts w:ascii="Helvetica" w:eastAsia="Times New Roman" w:hAnsi="Helvetica" w:cs="Times New Roman"/>
          <w:sz w:val="26"/>
          <w:szCs w:val="26"/>
          <w:lang w:eastAsia="en-GB"/>
        </w:rPr>
        <w:t>a number of</w:t>
      </w:r>
      <w:r w:rsidRPr="00F95DC9">
        <w:rPr>
          <w:rFonts w:ascii="Helvetica" w:eastAsia="Times New Roman" w:hAnsi="Helvetica" w:cs="Times New Roman"/>
          <w:sz w:val="26"/>
          <w:szCs w:val="26"/>
          <w:lang w:eastAsia="en-GB"/>
        </w:rPr>
        <w:t xml:space="preserve"> </w:t>
      </w:r>
      <w:r w:rsidR="00656F51" w:rsidRPr="00F95DC9">
        <w:rPr>
          <w:rFonts w:ascii="Helvetica" w:eastAsia="Times New Roman" w:hAnsi="Helvetica" w:cs="Times New Roman"/>
          <w:sz w:val="26"/>
          <w:szCs w:val="26"/>
          <w:lang w:eastAsia="en-GB"/>
        </w:rPr>
        <w:t>GCSE</w:t>
      </w:r>
      <w:r w:rsidRPr="00F95DC9">
        <w:rPr>
          <w:rFonts w:ascii="Helvetica" w:eastAsia="Times New Roman" w:hAnsi="Helvetica" w:cs="Times New Roman"/>
          <w:sz w:val="26"/>
          <w:szCs w:val="26"/>
          <w:lang w:eastAsia="en-GB"/>
        </w:rPr>
        <w:t xml:space="preserve"> texts</w:t>
      </w:r>
      <w:r w:rsidR="00656F51" w:rsidRPr="00F95DC9">
        <w:rPr>
          <w:rFonts w:ascii="Helvetica" w:eastAsia="Times New Roman" w:hAnsi="Helvetica" w:cs="Times New Roman"/>
          <w:sz w:val="26"/>
          <w:szCs w:val="26"/>
          <w:lang w:eastAsia="en-GB"/>
        </w:rPr>
        <w:t xml:space="preserve">, so that </w:t>
      </w:r>
      <w:r w:rsidRPr="00F95DC9">
        <w:rPr>
          <w:rFonts w:ascii="Helvetica" w:eastAsia="Times New Roman" w:hAnsi="Helvetica" w:cs="Times New Roman"/>
          <w:sz w:val="26"/>
          <w:szCs w:val="26"/>
          <w:lang w:eastAsia="en-GB"/>
        </w:rPr>
        <w:t xml:space="preserve">these </w:t>
      </w:r>
      <w:r w:rsidR="00D46D0A" w:rsidRPr="00F95DC9">
        <w:rPr>
          <w:rFonts w:ascii="Helvetica" w:eastAsia="Times New Roman" w:hAnsi="Helvetica" w:cs="Times New Roman"/>
          <w:sz w:val="26"/>
          <w:szCs w:val="26"/>
          <w:lang w:eastAsia="en-GB"/>
        </w:rPr>
        <w:t>scenes can</w:t>
      </w:r>
      <w:r w:rsidR="00656F51" w:rsidRPr="00F95DC9">
        <w:rPr>
          <w:rFonts w:ascii="Helvetica" w:eastAsia="Times New Roman" w:hAnsi="Helvetica" w:cs="Times New Roman"/>
          <w:sz w:val="26"/>
          <w:szCs w:val="26"/>
          <w:lang w:eastAsia="en-GB"/>
        </w:rPr>
        <w:t xml:space="preserve"> be explored comprehensively but efficiently</w:t>
      </w:r>
      <w:r w:rsidR="00F62FE3" w:rsidRPr="00F95DC9">
        <w:rPr>
          <w:rFonts w:ascii="Helvetica" w:eastAsia="Times New Roman" w:hAnsi="Helvetica" w:cs="Times New Roman"/>
          <w:sz w:val="26"/>
          <w:szCs w:val="26"/>
          <w:lang w:eastAsia="en-GB"/>
        </w:rPr>
        <w:t xml:space="preserve"> by pupils</w:t>
      </w:r>
      <w:r w:rsidR="00656F51" w:rsidRPr="00F95DC9">
        <w:rPr>
          <w:rFonts w:ascii="Helvetica" w:eastAsia="Times New Roman" w:hAnsi="Helvetica" w:cs="Times New Roman"/>
          <w:sz w:val="26"/>
          <w:szCs w:val="26"/>
          <w:lang w:eastAsia="en-GB"/>
        </w:rPr>
        <w:t xml:space="preserve">. </w:t>
      </w:r>
    </w:p>
    <w:p w14:paraId="27E73165" w14:textId="14F1297C" w:rsidR="00656F51" w:rsidRPr="00F95DC9" w:rsidRDefault="00656F51" w:rsidP="00656F51">
      <w:pPr>
        <w:spacing w:before="100" w:beforeAutospacing="1" w:after="100" w:afterAutospacing="1" w:line="240" w:lineRule="auto"/>
        <w:rPr>
          <w:rFonts w:ascii="Helvetica" w:eastAsia="Times New Roman" w:hAnsi="Helvetica" w:cs="Times New Roman"/>
          <w:sz w:val="26"/>
          <w:szCs w:val="26"/>
          <w:lang w:eastAsia="en-GB"/>
        </w:rPr>
      </w:pPr>
      <w:r w:rsidRPr="00F95DC9">
        <w:rPr>
          <w:rFonts w:ascii="Helvetica" w:eastAsia="Times New Roman" w:hAnsi="Helvetica" w:cs="Times New Roman"/>
          <w:sz w:val="26"/>
          <w:szCs w:val="26"/>
          <w:lang w:eastAsia="en-GB"/>
        </w:rPr>
        <w:t xml:space="preserve">These scenes are also incredibly useful for </w:t>
      </w:r>
      <w:r w:rsidR="00350FD5" w:rsidRPr="00F95DC9">
        <w:rPr>
          <w:rFonts w:ascii="Helvetica" w:eastAsia="Times New Roman" w:hAnsi="Helvetica" w:cs="Times New Roman"/>
          <w:sz w:val="26"/>
          <w:szCs w:val="26"/>
          <w:lang w:eastAsia="en-GB"/>
        </w:rPr>
        <w:t>demonstrating</w:t>
      </w:r>
      <w:r w:rsidRPr="00F95DC9">
        <w:rPr>
          <w:rFonts w:ascii="Helvetica" w:eastAsia="Times New Roman" w:hAnsi="Helvetica" w:cs="Times New Roman"/>
          <w:sz w:val="26"/>
          <w:szCs w:val="26"/>
          <w:lang w:eastAsia="en-GB"/>
        </w:rPr>
        <w:t xml:space="preserve"> whole text knowledge - whilst key scenes may be rich in material, these brief scenes are excellent for highlighting the development of theme or character, and may even awaken an examiner to a new and original point that </w:t>
      </w:r>
      <w:r w:rsidR="009F5B9E" w:rsidRPr="00F95DC9">
        <w:rPr>
          <w:rFonts w:ascii="Helvetica" w:eastAsia="Times New Roman" w:hAnsi="Helvetica" w:cs="Times New Roman"/>
          <w:sz w:val="26"/>
          <w:szCs w:val="26"/>
          <w:lang w:eastAsia="en-GB"/>
        </w:rPr>
        <w:t>hasn’t</w:t>
      </w:r>
      <w:r w:rsidRPr="00F95DC9">
        <w:rPr>
          <w:rFonts w:ascii="Helvetica" w:eastAsia="Times New Roman" w:hAnsi="Helvetica" w:cs="Times New Roman"/>
          <w:sz w:val="26"/>
          <w:szCs w:val="26"/>
          <w:lang w:eastAsia="en-GB"/>
        </w:rPr>
        <w:t xml:space="preserve"> be</w:t>
      </w:r>
      <w:r w:rsidR="009F5B9E" w:rsidRPr="00F95DC9">
        <w:rPr>
          <w:rFonts w:ascii="Helvetica" w:eastAsia="Times New Roman" w:hAnsi="Helvetica" w:cs="Times New Roman"/>
          <w:sz w:val="26"/>
          <w:szCs w:val="26"/>
          <w:lang w:eastAsia="en-GB"/>
        </w:rPr>
        <w:t>en</w:t>
      </w:r>
      <w:r w:rsidRPr="00F95DC9">
        <w:rPr>
          <w:rFonts w:ascii="Helvetica" w:eastAsia="Times New Roman" w:hAnsi="Helvetica" w:cs="Times New Roman"/>
          <w:sz w:val="26"/>
          <w:szCs w:val="26"/>
          <w:lang w:eastAsia="en-GB"/>
        </w:rPr>
        <w:t xml:space="preserve"> made by pupils again and again!</w:t>
      </w:r>
    </w:p>
    <w:p w14:paraId="1ED2C6DC" w14:textId="43D2E925" w:rsidR="00033E52" w:rsidRPr="00F95DC9" w:rsidRDefault="00033E52" w:rsidP="00033E52">
      <w:pPr>
        <w:spacing w:before="100" w:beforeAutospacing="1" w:after="100" w:afterAutospacing="1" w:line="240" w:lineRule="auto"/>
        <w:rPr>
          <w:rFonts w:ascii="Helvetica" w:eastAsia="Times New Roman" w:hAnsi="Helvetica" w:cs="Times New Roman"/>
          <w:i/>
          <w:iCs/>
          <w:sz w:val="26"/>
          <w:szCs w:val="26"/>
          <w:lang w:eastAsia="en-GB"/>
        </w:rPr>
      </w:pPr>
      <w:r w:rsidRPr="00F95DC9">
        <w:rPr>
          <w:rFonts w:ascii="Helvetica" w:eastAsia="Times New Roman" w:hAnsi="Helvetica" w:cs="Times New Roman"/>
          <w:i/>
          <w:iCs/>
          <w:sz w:val="26"/>
          <w:szCs w:val="26"/>
          <w:lang w:eastAsia="en-GB"/>
        </w:rPr>
        <w:t>Are you interested in writing a piece for our Significance of the Insignificant series? </w:t>
      </w:r>
    </w:p>
    <w:p w14:paraId="1723B114" w14:textId="7415A9B5" w:rsidR="00033E52" w:rsidRPr="00F95DC9" w:rsidRDefault="00033E52" w:rsidP="00033E52">
      <w:pPr>
        <w:spacing w:before="100" w:beforeAutospacing="1" w:after="100" w:afterAutospacing="1" w:line="240" w:lineRule="auto"/>
        <w:rPr>
          <w:rFonts w:ascii="Helvetica" w:eastAsia="Times New Roman" w:hAnsi="Helvetica" w:cs="Times New Roman"/>
          <w:i/>
          <w:iCs/>
          <w:sz w:val="26"/>
          <w:szCs w:val="26"/>
          <w:lang w:eastAsia="en-GB"/>
        </w:rPr>
      </w:pPr>
      <w:r w:rsidRPr="00F95DC9">
        <w:rPr>
          <w:rFonts w:ascii="Helvetica" w:eastAsia="Times New Roman" w:hAnsi="Helvetica" w:cs="Times New Roman"/>
          <w:i/>
          <w:iCs/>
          <w:sz w:val="26"/>
          <w:szCs w:val="26"/>
          <w:lang w:eastAsia="en-GB"/>
        </w:rPr>
        <w:t xml:space="preserve">If you would like to know more about publishing an article for this series with us, on any number of GCSE texts, then get in touch at </w:t>
      </w:r>
      <w:hyperlink r:id="rId9" w:tgtFrame="_blank" w:history="1">
        <w:r w:rsidRPr="00F95DC9">
          <w:rPr>
            <w:rFonts w:ascii="Helvetica" w:eastAsia="Times New Roman" w:hAnsi="Helvetica" w:cs="Times New Roman"/>
            <w:i/>
            <w:iCs/>
            <w:color w:val="0000FF"/>
            <w:sz w:val="26"/>
            <w:szCs w:val="26"/>
            <w:u w:val="single"/>
            <w:lang w:eastAsia="en-GB"/>
          </w:rPr>
          <w:t>contact@thequotationbank.co.uk</w:t>
        </w:r>
      </w:hyperlink>
      <w:r w:rsidRPr="00F95DC9">
        <w:rPr>
          <w:rFonts w:ascii="Helvetica" w:eastAsia="Times New Roman" w:hAnsi="Helvetica" w:cs="Times New Roman"/>
          <w:i/>
          <w:iCs/>
          <w:sz w:val="26"/>
          <w:szCs w:val="26"/>
          <w:lang w:eastAsia="en-GB"/>
        </w:rPr>
        <w:t xml:space="preserve"> to find out more</w:t>
      </w:r>
      <w:r w:rsidR="003F0F24" w:rsidRPr="00F95DC9">
        <w:rPr>
          <w:rFonts w:ascii="Helvetica" w:eastAsia="Times New Roman" w:hAnsi="Helvetica" w:cs="Times New Roman"/>
          <w:i/>
          <w:iCs/>
          <w:sz w:val="26"/>
          <w:szCs w:val="26"/>
          <w:lang w:eastAsia="en-GB"/>
        </w:rPr>
        <w:t>.</w:t>
      </w:r>
    </w:p>
    <w:p w14:paraId="02AA0EEF" w14:textId="58C55B8E" w:rsidR="002E6864" w:rsidRPr="00F95DC9" w:rsidRDefault="00EA6654" w:rsidP="00033E52">
      <w:pPr>
        <w:spacing w:before="100" w:beforeAutospacing="1" w:after="100" w:afterAutospacing="1" w:line="240" w:lineRule="auto"/>
        <w:rPr>
          <w:rFonts w:ascii="Helvetica" w:eastAsia="Times New Roman" w:hAnsi="Helvetica" w:cs="Times New Roman"/>
          <w:i/>
          <w:iCs/>
          <w:sz w:val="26"/>
          <w:szCs w:val="26"/>
          <w:lang w:eastAsia="en-GB"/>
        </w:rPr>
      </w:pPr>
      <w:r w:rsidRPr="00F95DC9">
        <w:rPr>
          <w:rFonts w:ascii="Helvetica" w:eastAsia="Times New Roman" w:hAnsi="Helvetica" w:cs="Times New Roman"/>
          <w:i/>
          <w:iCs/>
          <w:sz w:val="26"/>
          <w:szCs w:val="26"/>
          <w:lang w:eastAsia="en-GB"/>
        </w:rPr>
        <w:t>Please note – the</w:t>
      </w:r>
      <w:r w:rsidR="007A4F11" w:rsidRPr="00F95DC9">
        <w:rPr>
          <w:rFonts w:ascii="Helvetica" w:eastAsia="Times New Roman" w:hAnsi="Helvetica" w:cs="Times New Roman"/>
          <w:i/>
          <w:iCs/>
          <w:sz w:val="26"/>
          <w:szCs w:val="26"/>
          <w:lang w:eastAsia="en-GB"/>
        </w:rPr>
        <w:t xml:space="preserve"> article below may be used</w:t>
      </w:r>
      <w:r w:rsidR="00C766B0" w:rsidRPr="00F95DC9">
        <w:rPr>
          <w:rFonts w:ascii="Helvetica" w:eastAsia="Times New Roman" w:hAnsi="Helvetica" w:cs="Times New Roman"/>
          <w:i/>
          <w:iCs/>
          <w:sz w:val="26"/>
          <w:szCs w:val="26"/>
          <w:lang w:eastAsia="en-GB"/>
        </w:rPr>
        <w:t xml:space="preserve"> freely in educational </w:t>
      </w:r>
      <w:r w:rsidR="00E85B48" w:rsidRPr="00F95DC9">
        <w:rPr>
          <w:rFonts w:ascii="Helvetica" w:eastAsia="Times New Roman" w:hAnsi="Helvetica" w:cs="Times New Roman"/>
          <w:i/>
          <w:iCs/>
          <w:sz w:val="26"/>
          <w:szCs w:val="26"/>
          <w:lang w:eastAsia="en-GB"/>
        </w:rPr>
        <w:t>settings but</w:t>
      </w:r>
      <w:r w:rsidR="00C766B0" w:rsidRPr="00F95DC9">
        <w:rPr>
          <w:rFonts w:ascii="Helvetica" w:eastAsia="Times New Roman" w:hAnsi="Helvetica" w:cs="Times New Roman"/>
          <w:i/>
          <w:iCs/>
          <w:sz w:val="26"/>
          <w:szCs w:val="26"/>
          <w:lang w:eastAsia="en-GB"/>
        </w:rPr>
        <w:t xml:space="preserve"> must not be used </w:t>
      </w:r>
      <w:r w:rsidR="00F66847" w:rsidRPr="00F95DC9">
        <w:rPr>
          <w:rFonts w:ascii="Helvetica" w:eastAsia="Times New Roman" w:hAnsi="Helvetica" w:cs="Times New Roman"/>
          <w:i/>
          <w:iCs/>
          <w:sz w:val="26"/>
          <w:szCs w:val="26"/>
          <w:lang w:eastAsia="en-GB"/>
        </w:rPr>
        <w:t xml:space="preserve">or adapted in any way </w:t>
      </w:r>
      <w:r w:rsidR="00C766B0" w:rsidRPr="00F95DC9">
        <w:rPr>
          <w:rFonts w:ascii="Helvetica" w:eastAsia="Times New Roman" w:hAnsi="Helvetica" w:cs="Times New Roman"/>
          <w:i/>
          <w:iCs/>
          <w:sz w:val="26"/>
          <w:szCs w:val="26"/>
          <w:lang w:eastAsia="en-GB"/>
        </w:rPr>
        <w:t>for commercial purposes under any circumstances.</w:t>
      </w:r>
      <w:r w:rsidR="001957C3" w:rsidRPr="00F95DC9">
        <w:rPr>
          <w:rFonts w:ascii="Helvetica" w:eastAsia="Times New Roman" w:hAnsi="Helvetica" w:cs="Times New Roman"/>
          <w:i/>
          <w:iCs/>
          <w:sz w:val="26"/>
          <w:szCs w:val="26"/>
          <w:lang w:eastAsia="en-GB"/>
        </w:rPr>
        <w:t xml:space="preserve"> Copyright remains with the </w:t>
      </w:r>
      <w:r w:rsidR="00E85B48" w:rsidRPr="00F95DC9">
        <w:rPr>
          <w:rFonts w:ascii="Helvetica" w:eastAsia="Times New Roman" w:hAnsi="Helvetica" w:cs="Times New Roman"/>
          <w:i/>
          <w:iCs/>
          <w:sz w:val="26"/>
          <w:szCs w:val="26"/>
          <w:lang w:eastAsia="en-GB"/>
        </w:rPr>
        <w:t xml:space="preserve">author of the </w:t>
      </w:r>
      <w:r w:rsidR="00D22654" w:rsidRPr="00F95DC9">
        <w:rPr>
          <w:rFonts w:ascii="Helvetica" w:eastAsia="Times New Roman" w:hAnsi="Helvetica" w:cs="Times New Roman"/>
          <w:i/>
          <w:iCs/>
          <w:sz w:val="26"/>
          <w:szCs w:val="26"/>
          <w:lang w:eastAsia="en-GB"/>
        </w:rPr>
        <w:t>articles</w:t>
      </w:r>
      <w:r w:rsidR="00E85B48" w:rsidRPr="00F95DC9">
        <w:rPr>
          <w:rFonts w:ascii="Helvetica" w:eastAsia="Times New Roman" w:hAnsi="Helvetica" w:cs="Times New Roman"/>
          <w:i/>
          <w:iCs/>
          <w:sz w:val="26"/>
          <w:szCs w:val="26"/>
          <w:lang w:eastAsia="en-GB"/>
        </w:rPr>
        <w:t xml:space="preserve">. </w:t>
      </w:r>
      <w:r w:rsidR="00C766B0" w:rsidRPr="00F95DC9">
        <w:rPr>
          <w:rFonts w:ascii="Helvetica" w:eastAsia="Times New Roman" w:hAnsi="Helvetica" w:cs="Times New Roman"/>
          <w:i/>
          <w:iCs/>
          <w:sz w:val="26"/>
          <w:szCs w:val="26"/>
          <w:lang w:eastAsia="en-GB"/>
        </w:rPr>
        <w:t xml:space="preserve"> </w:t>
      </w:r>
    </w:p>
    <w:p w14:paraId="215C44A1" w14:textId="77777777" w:rsidR="00935DE5" w:rsidRDefault="00935DE5" w:rsidP="005C585B">
      <w:pPr>
        <w:spacing w:before="100" w:beforeAutospacing="1" w:after="100" w:afterAutospacing="1" w:line="240" w:lineRule="auto"/>
        <w:jc w:val="center"/>
        <w:rPr>
          <w:rFonts w:ascii="Helvetica" w:eastAsia="Times New Roman" w:hAnsi="Helvetica" w:cs="Helvetica"/>
          <w:sz w:val="28"/>
          <w:szCs w:val="28"/>
          <w:lang w:eastAsia="en-GB"/>
        </w:rPr>
      </w:pPr>
    </w:p>
    <w:p w14:paraId="10B9B55D" w14:textId="1E4D9510" w:rsidR="005C585B" w:rsidRPr="00297217" w:rsidRDefault="00613CCC" w:rsidP="005C585B">
      <w:pPr>
        <w:spacing w:before="100" w:beforeAutospacing="1" w:after="100" w:afterAutospacing="1" w:line="240" w:lineRule="auto"/>
        <w:jc w:val="center"/>
        <w:rPr>
          <w:rFonts w:ascii="Helvetica" w:eastAsia="Times New Roman" w:hAnsi="Helvetica" w:cs="Times New Roman"/>
          <w:sz w:val="36"/>
          <w:szCs w:val="36"/>
          <w:lang w:eastAsia="en-GB"/>
        </w:rPr>
      </w:pPr>
      <w:hyperlink r:id="rId10" w:history="1">
        <w:r w:rsidR="005C585B" w:rsidRPr="00297217">
          <w:rPr>
            <w:rStyle w:val="Hyperlink"/>
            <w:rFonts w:ascii="Helvetica" w:eastAsia="Times New Roman" w:hAnsi="Helvetica" w:cs="Times New Roman"/>
            <w:sz w:val="36"/>
            <w:szCs w:val="36"/>
            <w:lang w:eastAsia="en-GB"/>
          </w:rPr>
          <w:t>www.thequotationbank.co.uk</w:t>
        </w:r>
      </w:hyperlink>
    </w:p>
    <w:p w14:paraId="26562C61" w14:textId="335A4566" w:rsidR="005C585B" w:rsidRPr="00656F51" w:rsidRDefault="005C585B" w:rsidP="00033E52">
      <w:pPr>
        <w:spacing w:before="100" w:beforeAutospacing="1" w:after="100" w:afterAutospacing="1" w:line="240" w:lineRule="auto"/>
        <w:rPr>
          <w:rFonts w:ascii="Helvetica" w:eastAsia="Times New Roman" w:hAnsi="Helvetica" w:cs="Times New Roman"/>
          <w:i/>
          <w:iCs/>
          <w:sz w:val="24"/>
          <w:szCs w:val="24"/>
          <w:lang w:eastAsia="en-GB"/>
        </w:rPr>
      </w:pPr>
    </w:p>
    <w:p w14:paraId="772D4591" w14:textId="66CE83B5" w:rsidR="00033E52" w:rsidRDefault="00033E52" w:rsidP="00656F51">
      <w:pPr>
        <w:spacing w:before="100" w:beforeAutospacing="1" w:after="100" w:afterAutospacing="1" w:line="240" w:lineRule="auto"/>
        <w:rPr>
          <w:rFonts w:ascii="Helvetica" w:eastAsia="Times New Roman" w:hAnsi="Helvetica" w:cs="Times New Roman"/>
          <w:sz w:val="24"/>
          <w:szCs w:val="24"/>
          <w:lang w:eastAsia="en-GB"/>
        </w:rPr>
      </w:pPr>
    </w:p>
    <w:p w14:paraId="6B91A78C" w14:textId="1B9FAC78" w:rsidR="00CE38E0" w:rsidRDefault="00397FD5" w:rsidP="00656F51">
      <w:pPr>
        <w:spacing w:before="100" w:beforeAutospacing="1" w:after="100" w:afterAutospacing="1" w:line="240" w:lineRule="auto"/>
        <w:rPr>
          <w:rFonts w:ascii="Helvetica" w:eastAsia="Times New Roman" w:hAnsi="Helvetica" w:cs="Times New Roman"/>
          <w:sz w:val="24"/>
          <w:szCs w:val="24"/>
          <w:lang w:eastAsia="en-GB"/>
        </w:rPr>
      </w:pPr>
      <w:r w:rsidRPr="00464D1E">
        <w:rPr>
          <w:rFonts w:ascii="Helvetica" w:hAnsi="Helvetica" w:cs="Helvetica"/>
          <w:noProof/>
        </w:rPr>
        <w:drawing>
          <wp:anchor distT="0" distB="0" distL="114300" distR="114300" simplePos="0" relativeHeight="251666944" behindDoc="0" locked="0" layoutInCell="1" allowOverlap="1" wp14:anchorId="07C20470" wp14:editId="41FDBFDF">
            <wp:simplePos x="0" y="0"/>
            <wp:positionH relativeFrom="column">
              <wp:posOffset>-441435</wp:posOffset>
            </wp:positionH>
            <wp:positionV relativeFrom="paragraph">
              <wp:posOffset>151437</wp:posOffset>
            </wp:positionV>
            <wp:extent cx="6671734" cy="619433"/>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71734" cy="619433"/>
                    </a:xfrm>
                    <a:prstGeom prst="rect">
                      <a:avLst/>
                    </a:prstGeom>
                  </pic:spPr>
                </pic:pic>
              </a:graphicData>
            </a:graphic>
            <wp14:sizeRelH relativeFrom="margin">
              <wp14:pctWidth>0</wp14:pctWidth>
            </wp14:sizeRelH>
            <wp14:sizeRelV relativeFrom="margin">
              <wp14:pctHeight>0</wp14:pctHeight>
            </wp14:sizeRelV>
          </wp:anchor>
        </w:drawing>
      </w:r>
    </w:p>
    <w:p w14:paraId="0E3657D2" w14:textId="77777777" w:rsidR="007B4BD0" w:rsidRDefault="007B4BD0" w:rsidP="00656F51">
      <w:pPr>
        <w:spacing w:before="100" w:beforeAutospacing="1" w:after="100" w:afterAutospacing="1" w:line="240" w:lineRule="auto"/>
        <w:rPr>
          <w:rFonts w:ascii="Helvetica" w:eastAsia="Times New Roman" w:hAnsi="Helvetica" w:cs="Times New Roman"/>
          <w:sz w:val="24"/>
          <w:szCs w:val="24"/>
          <w:lang w:eastAsia="en-GB"/>
        </w:rPr>
      </w:pPr>
    </w:p>
    <w:p w14:paraId="5488263A" w14:textId="7170B923" w:rsidR="002E37B0" w:rsidRPr="002E37B0" w:rsidRDefault="00B756E7" w:rsidP="002E37B0">
      <w:pPr>
        <w:spacing w:before="100" w:beforeAutospacing="1" w:after="100" w:afterAutospacing="1" w:line="240" w:lineRule="auto"/>
        <w:rPr>
          <w:rFonts w:ascii="Helvetica" w:eastAsia="Times New Roman" w:hAnsi="Helvetica" w:cs="Times New Roman"/>
          <w:sz w:val="24"/>
          <w:szCs w:val="24"/>
          <w:u w:val="single"/>
          <w:lang w:eastAsia="en-GB"/>
        </w:rPr>
      </w:pPr>
      <w:r w:rsidRPr="002E37B0">
        <w:rPr>
          <w:rFonts w:ascii="Helvetica" w:eastAsia="Times New Roman" w:hAnsi="Helvetica" w:cs="Times New Roman"/>
          <w:noProof/>
          <w:sz w:val="28"/>
          <w:szCs w:val="28"/>
          <w:u w:val="single"/>
          <w:lang w:eastAsia="en-GB"/>
        </w:rPr>
        <w:lastRenderedPageBreak/>
        <w:drawing>
          <wp:anchor distT="0" distB="0" distL="114300" distR="114300" simplePos="0" relativeHeight="251657728" behindDoc="0" locked="0" layoutInCell="1" allowOverlap="1" wp14:anchorId="71EA6514" wp14:editId="401A6439">
            <wp:simplePos x="0" y="0"/>
            <wp:positionH relativeFrom="column">
              <wp:posOffset>-847725</wp:posOffset>
            </wp:positionH>
            <wp:positionV relativeFrom="paragraph">
              <wp:posOffset>37749</wp:posOffset>
            </wp:positionV>
            <wp:extent cx="7412559" cy="1260135"/>
            <wp:effectExtent l="0" t="0" r="0" b="0"/>
            <wp:wrapThrough wrapText="bothSides">
              <wp:wrapPolygon edited="0">
                <wp:start x="0" y="0"/>
                <wp:lineTo x="0" y="21230"/>
                <wp:lineTo x="21539" y="21230"/>
                <wp:lineTo x="2153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2559" cy="1260135"/>
                    </a:xfrm>
                    <a:prstGeom prst="rect">
                      <a:avLst/>
                    </a:prstGeom>
                  </pic:spPr>
                </pic:pic>
              </a:graphicData>
            </a:graphic>
            <wp14:sizeRelH relativeFrom="margin">
              <wp14:pctWidth>0</wp14:pctWidth>
            </wp14:sizeRelH>
            <wp14:sizeRelV relativeFrom="margin">
              <wp14:pctHeight>0</wp14:pctHeight>
            </wp14:sizeRelV>
          </wp:anchor>
        </w:drawing>
      </w:r>
      <w:r w:rsidR="002E37B0" w:rsidRPr="002E37B0">
        <w:rPr>
          <w:rFonts w:ascii="Helvetica" w:hAnsi="Helvetica" w:cs="Helvetica"/>
          <w:b/>
          <w:sz w:val="24"/>
          <w:szCs w:val="24"/>
          <w:u w:val="single"/>
        </w:rPr>
        <w:t>The Significance of Minor Characters in Chapter 4 – The Carew Murder Case</w:t>
      </w:r>
    </w:p>
    <w:p w14:paraId="062F5684" w14:textId="3AA89A71" w:rsidR="002E37B0" w:rsidRPr="002E37B0" w:rsidRDefault="002E37B0" w:rsidP="002E37B0">
      <w:pPr>
        <w:spacing w:before="240" w:line="276" w:lineRule="auto"/>
        <w:rPr>
          <w:rFonts w:ascii="Helvetica" w:hAnsi="Helvetica" w:cs="Helvetica"/>
          <w:sz w:val="24"/>
          <w:szCs w:val="24"/>
          <w:shd w:val="clear" w:color="auto" w:fill="FFFFFF"/>
        </w:rPr>
      </w:pPr>
      <w:r w:rsidRPr="002E37B0">
        <w:rPr>
          <w:rFonts w:ascii="Helvetica" w:hAnsi="Helvetica" w:cs="Helvetica"/>
          <w:sz w:val="24"/>
          <w:szCs w:val="24"/>
        </w:rPr>
        <w:t xml:space="preserve">We are used to exploring the theme of hypocrisy through Sir Danvers Carew. He is introduced as an </w:t>
      </w:r>
      <w:r w:rsidR="005A27CA">
        <w:rPr>
          <w:rFonts w:ascii="Helvetica" w:hAnsi="Helvetica" w:cs="Helvetica"/>
          <w:sz w:val="24"/>
          <w:szCs w:val="24"/>
        </w:rPr>
        <w:t>“</w:t>
      </w:r>
      <w:r w:rsidRPr="002E37B0">
        <w:rPr>
          <w:rFonts w:ascii="Helvetica" w:hAnsi="Helvetica" w:cs="Helvetica"/>
          <w:sz w:val="24"/>
          <w:szCs w:val="24"/>
        </w:rPr>
        <w:t>aged beautiful gentleman with white hair</w:t>
      </w:r>
      <w:r w:rsidR="005A27CA">
        <w:rPr>
          <w:rFonts w:ascii="Helvetica" w:hAnsi="Helvetica" w:cs="Helvetica"/>
          <w:sz w:val="24"/>
          <w:szCs w:val="24"/>
        </w:rPr>
        <w:t>”</w:t>
      </w:r>
      <w:r w:rsidRPr="002E37B0">
        <w:rPr>
          <w:rFonts w:ascii="Helvetica" w:hAnsi="Helvetica" w:cs="Helvetica"/>
          <w:sz w:val="24"/>
          <w:szCs w:val="24"/>
        </w:rPr>
        <w:t xml:space="preserve"> and seems innocent and moral. However, this is a world in which gentlemen lead double lives: outwardly respectable, but secretly indulging in sordid and prohibited vices, and there are many clues that Carew is engaged in illicit activity. It is a world of hypocrites, and the angelic imagery linked to Carew is therefore a surface whiteness; a carapace concealing depravity and wickedness. It is the biblical whiteness of the sepulchre, traditionally a burial place or tomb, but also associated with hypocrisy. The Gospel of Matthew (</w:t>
      </w:r>
      <w:hyperlink r:id="rId12" w:tgtFrame="_blank" w:history="1">
        <w:r w:rsidRPr="002E37B0">
          <w:rPr>
            <w:rStyle w:val="Hyperlink"/>
            <w:rFonts w:ascii="Helvetica" w:hAnsi="Helvetica" w:cs="Helvetica"/>
            <w:color w:val="auto"/>
            <w:sz w:val="24"/>
            <w:szCs w:val="24"/>
            <w:u w:val="none"/>
            <w:shd w:val="clear" w:color="auto" w:fill="FFFFFF"/>
          </w:rPr>
          <w:t>23:27</w:t>
        </w:r>
      </w:hyperlink>
      <w:r w:rsidRPr="002E37B0">
        <w:rPr>
          <w:rFonts w:ascii="Helvetica" w:hAnsi="Helvetica" w:cs="Helvetica"/>
          <w:sz w:val="24"/>
          <w:szCs w:val="24"/>
          <w:shd w:val="clear" w:color="auto" w:fill="FFFFFF"/>
        </w:rPr>
        <w:t xml:space="preserve">) </w:t>
      </w:r>
      <w:r w:rsidRPr="002E37B0">
        <w:rPr>
          <w:rFonts w:ascii="Helvetica" w:hAnsi="Helvetica" w:cs="Helvetica"/>
          <w:sz w:val="24"/>
          <w:szCs w:val="24"/>
        </w:rPr>
        <w:t xml:space="preserve">links </w:t>
      </w:r>
      <w:r w:rsidRPr="002E37B0">
        <w:rPr>
          <w:rFonts w:ascii="Helvetica" w:hAnsi="Helvetica" w:cs="Helvetica"/>
          <w:spacing w:val="3"/>
          <w:sz w:val="24"/>
          <w:szCs w:val="24"/>
          <w:shd w:val="clear" w:color="auto" w:fill="FFFFFF"/>
        </w:rPr>
        <w:t>whiteness with outward virtue, and inward wickedness</w:t>
      </w:r>
      <w:r w:rsidRPr="002E37B0">
        <w:rPr>
          <w:rFonts w:ascii="Helvetica" w:hAnsi="Helvetica" w:cs="Helvetica"/>
          <w:sz w:val="24"/>
          <w:szCs w:val="24"/>
        </w:rPr>
        <w:t>:</w:t>
      </w:r>
    </w:p>
    <w:p w14:paraId="6116B874" w14:textId="77777777" w:rsidR="002E37B0" w:rsidRPr="002E37B0" w:rsidRDefault="002E37B0" w:rsidP="002E37B0">
      <w:pPr>
        <w:spacing w:before="240" w:line="276" w:lineRule="auto"/>
        <w:ind w:left="567" w:right="567"/>
        <w:rPr>
          <w:rFonts w:ascii="Helvetica" w:hAnsi="Helvetica" w:cs="Helvetica"/>
          <w:sz w:val="24"/>
          <w:szCs w:val="24"/>
          <w:shd w:val="clear" w:color="auto" w:fill="FFFFFF"/>
        </w:rPr>
      </w:pPr>
      <w:r w:rsidRPr="002E37B0">
        <w:rPr>
          <w:rFonts w:ascii="Helvetica" w:hAnsi="Helvetica" w:cs="Helvetica"/>
          <w:sz w:val="24"/>
          <w:szCs w:val="24"/>
          <w:shd w:val="clear" w:color="auto" w:fill="FFFFFF"/>
        </w:rPr>
        <w:t>“Woe unto you, scribes and Pharisees, hypocrites! for ye are like unto whited </w:t>
      </w:r>
      <w:r w:rsidRPr="002E37B0">
        <w:rPr>
          <w:rFonts w:ascii="Helvetica" w:hAnsi="Helvetica" w:cs="Helvetica"/>
          <w:bCs/>
          <w:sz w:val="24"/>
          <w:szCs w:val="24"/>
          <w:shd w:val="clear" w:color="auto" w:fill="FFFFFF"/>
        </w:rPr>
        <w:t>sepulchre</w:t>
      </w:r>
      <w:r w:rsidRPr="002E37B0">
        <w:rPr>
          <w:rFonts w:ascii="Helvetica" w:hAnsi="Helvetica" w:cs="Helvetica"/>
          <w:sz w:val="24"/>
          <w:szCs w:val="24"/>
          <w:shd w:val="clear" w:color="auto" w:fill="FFFFFF"/>
        </w:rPr>
        <w:t>s, which indeed appear beautiful outward, but are within full of … all uncleanness.”</w:t>
      </w:r>
    </w:p>
    <w:p w14:paraId="3FAF2450" w14:textId="622B0AEC" w:rsidR="002E37B0" w:rsidRPr="002E37B0" w:rsidRDefault="002E37B0" w:rsidP="002E37B0">
      <w:pPr>
        <w:pStyle w:val="NormalWeb"/>
        <w:spacing w:before="240" w:beforeAutospacing="0" w:after="60" w:afterAutospacing="0" w:line="276" w:lineRule="auto"/>
        <w:jc w:val="both"/>
        <w:rPr>
          <w:rFonts w:ascii="Helvetica" w:hAnsi="Helvetica" w:cs="Helvetica"/>
        </w:rPr>
      </w:pPr>
      <w:r w:rsidRPr="002E37B0">
        <w:rPr>
          <w:rFonts w:ascii="Helvetica" w:hAnsi="Helvetica" w:cs="Helvetica"/>
        </w:rPr>
        <w:t xml:space="preserve">We can see the theme of hypocrisy developed through three minor characters in this chapter. Hyde’s landlady is </w:t>
      </w:r>
      <w:r w:rsidR="0006267A">
        <w:rPr>
          <w:rFonts w:ascii="Helvetica" w:hAnsi="Helvetica" w:cs="Helvetica"/>
        </w:rPr>
        <w:t>“</w:t>
      </w:r>
      <w:r w:rsidRPr="002E37B0">
        <w:rPr>
          <w:rFonts w:ascii="Helvetica" w:hAnsi="Helvetica" w:cs="Helvetica"/>
        </w:rPr>
        <w:t>ivory-faced and silvery haired</w:t>
      </w:r>
      <w:r w:rsidR="0006267A">
        <w:rPr>
          <w:rFonts w:ascii="Helvetica" w:hAnsi="Helvetica" w:cs="Helvetica"/>
        </w:rPr>
        <w:t>”</w:t>
      </w:r>
      <w:r w:rsidRPr="002E37B0">
        <w:rPr>
          <w:rFonts w:ascii="Helvetica" w:hAnsi="Helvetica" w:cs="Helvetica"/>
        </w:rPr>
        <w:t xml:space="preserve">. The colour symbolism seems to indicate morality, but is merely a facade of decency. Like the </w:t>
      </w:r>
      <w:r w:rsidR="0006267A">
        <w:rPr>
          <w:rFonts w:ascii="Helvetica" w:hAnsi="Helvetica" w:cs="Helvetica"/>
        </w:rPr>
        <w:t>“</w:t>
      </w:r>
      <w:r w:rsidRPr="002E37B0">
        <w:rPr>
          <w:rFonts w:ascii="Helvetica" w:hAnsi="Helvetica" w:cs="Helvetica"/>
        </w:rPr>
        <w:t>beautiful</w:t>
      </w:r>
      <w:r w:rsidR="0006267A">
        <w:rPr>
          <w:rFonts w:ascii="Helvetica" w:hAnsi="Helvetica" w:cs="Helvetica"/>
        </w:rPr>
        <w:t>”</w:t>
      </w:r>
      <w:r w:rsidRPr="002E37B0">
        <w:rPr>
          <w:rFonts w:ascii="Helvetica" w:hAnsi="Helvetica" w:cs="Helvetica"/>
        </w:rPr>
        <w:t xml:space="preserve"> Sir Danvers Carew, possibly involved in immoral, if not illegal activity, the landlady’s face is </w:t>
      </w:r>
      <w:r w:rsidR="0006267A">
        <w:rPr>
          <w:rFonts w:ascii="Helvetica" w:hAnsi="Helvetica" w:cs="Helvetica"/>
        </w:rPr>
        <w:t>“</w:t>
      </w:r>
      <w:r w:rsidRPr="002E37B0">
        <w:rPr>
          <w:rFonts w:ascii="Helvetica" w:hAnsi="Helvetica" w:cs="Helvetica"/>
        </w:rPr>
        <w:t>smoothed by hypocrisy</w:t>
      </w:r>
      <w:r w:rsidR="0006267A">
        <w:rPr>
          <w:rFonts w:ascii="Helvetica" w:hAnsi="Helvetica" w:cs="Helvetica"/>
        </w:rPr>
        <w:t>”</w:t>
      </w:r>
      <w:r w:rsidRPr="002E37B0">
        <w:rPr>
          <w:rFonts w:ascii="Helvetica" w:hAnsi="Helvetica" w:cs="Helvetica"/>
        </w:rPr>
        <w:t xml:space="preserve">, the metaphor suggesting a superficial appearance that disguises </w:t>
      </w:r>
      <w:r w:rsidR="00461AA2">
        <w:rPr>
          <w:rFonts w:ascii="Helvetica" w:hAnsi="Helvetica" w:cs="Helvetica"/>
        </w:rPr>
        <w:t>“</w:t>
      </w:r>
      <w:r w:rsidRPr="002E37B0">
        <w:rPr>
          <w:rFonts w:ascii="Helvetica" w:hAnsi="Helvetica" w:cs="Helvetica"/>
        </w:rPr>
        <w:t>evil</w:t>
      </w:r>
      <w:r w:rsidR="00461AA2">
        <w:rPr>
          <w:rFonts w:ascii="Helvetica" w:hAnsi="Helvetica" w:cs="Helvetica"/>
        </w:rPr>
        <w:t>”</w:t>
      </w:r>
      <w:r w:rsidRPr="002E37B0">
        <w:rPr>
          <w:rFonts w:ascii="Helvetica" w:hAnsi="Helvetica" w:cs="Helvetica"/>
        </w:rPr>
        <w:t xml:space="preserve">. Interestingly, again like Carew, </w:t>
      </w:r>
      <w:r w:rsidR="00461AA2">
        <w:rPr>
          <w:rFonts w:ascii="Helvetica" w:hAnsi="Helvetica" w:cs="Helvetica"/>
        </w:rPr>
        <w:t>“</w:t>
      </w:r>
      <w:r w:rsidRPr="002E37B0">
        <w:rPr>
          <w:rFonts w:ascii="Helvetica" w:hAnsi="Helvetica" w:cs="Helvetica"/>
        </w:rPr>
        <w:t>her manners were excellent</w:t>
      </w:r>
      <w:r w:rsidR="00461AA2">
        <w:rPr>
          <w:rFonts w:ascii="Helvetica" w:hAnsi="Helvetica" w:cs="Helvetica"/>
        </w:rPr>
        <w:t>”</w:t>
      </w:r>
      <w:r w:rsidRPr="002E37B0">
        <w:rPr>
          <w:rFonts w:ascii="Helvetica" w:hAnsi="Helvetica" w:cs="Helvetica"/>
        </w:rPr>
        <w:t xml:space="preserve"> and yet they mask a vicious, cruel nature. </w:t>
      </w:r>
    </w:p>
    <w:p w14:paraId="439209A0" w14:textId="09BECCD5" w:rsidR="002E37B0" w:rsidRPr="002E37B0" w:rsidRDefault="002E37B0" w:rsidP="00F81522">
      <w:pPr>
        <w:spacing w:before="240" w:line="276" w:lineRule="auto"/>
        <w:rPr>
          <w:rFonts w:ascii="Arial" w:eastAsia="Times New Roman" w:hAnsi="Arial" w:cs="Arial"/>
          <w:b/>
          <w:bCs/>
          <w:color w:val="222222"/>
          <w:sz w:val="24"/>
          <w:szCs w:val="24"/>
          <w:u w:val="single"/>
          <w:lang w:eastAsia="en-GB"/>
        </w:rPr>
      </w:pPr>
      <w:r w:rsidRPr="002E37B0">
        <w:rPr>
          <w:rFonts w:ascii="Helvetica" w:hAnsi="Helvetica" w:cs="Helvetica"/>
          <w:sz w:val="24"/>
          <w:szCs w:val="24"/>
        </w:rPr>
        <w:t xml:space="preserve">Another minor character is the man who owns the house where the maid recognises </w:t>
      </w:r>
      <w:r w:rsidR="00461AA2">
        <w:rPr>
          <w:rFonts w:ascii="Helvetica" w:hAnsi="Helvetica" w:cs="Helvetica"/>
          <w:sz w:val="24"/>
          <w:szCs w:val="24"/>
        </w:rPr>
        <w:t>“</w:t>
      </w:r>
      <w:r w:rsidRPr="002E37B0">
        <w:rPr>
          <w:rFonts w:ascii="Helvetica" w:hAnsi="Helvetica" w:cs="Helvetica"/>
          <w:sz w:val="24"/>
          <w:szCs w:val="24"/>
        </w:rPr>
        <w:t>a certain Mr. Hyde, who had once visited her master</w:t>
      </w:r>
      <w:r w:rsidR="00461AA2">
        <w:rPr>
          <w:rFonts w:ascii="Helvetica" w:hAnsi="Helvetica" w:cs="Helvetica"/>
          <w:sz w:val="24"/>
          <w:szCs w:val="24"/>
        </w:rPr>
        <w:t>”</w:t>
      </w:r>
      <w:r w:rsidRPr="002E37B0">
        <w:rPr>
          <w:rFonts w:ascii="Helvetica" w:hAnsi="Helvetica" w:cs="Helvetica"/>
          <w:sz w:val="24"/>
          <w:szCs w:val="24"/>
        </w:rPr>
        <w:t xml:space="preserve">. If Hyde visits </w:t>
      </w:r>
      <w:r w:rsidR="00461AA2">
        <w:rPr>
          <w:rFonts w:ascii="Helvetica" w:hAnsi="Helvetica" w:cs="Helvetica"/>
          <w:sz w:val="24"/>
          <w:szCs w:val="24"/>
        </w:rPr>
        <w:t>“</w:t>
      </w:r>
      <w:r w:rsidRPr="002E37B0">
        <w:rPr>
          <w:rFonts w:ascii="Helvetica" w:hAnsi="Helvetica" w:cs="Helvetica"/>
          <w:sz w:val="24"/>
          <w:szCs w:val="24"/>
        </w:rPr>
        <w:t>her master</w:t>
      </w:r>
      <w:r w:rsidR="00461AA2">
        <w:rPr>
          <w:rFonts w:ascii="Helvetica" w:hAnsi="Helvetica" w:cs="Helvetica"/>
          <w:sz w:val="24"/>
          <w:szCs w:val="24"/>
        </w:rPr>
        <w:t>”</w:t>
      </w:r>
      <w:r w:rsidRPr="002E37B0">
        <w:rPr>
          <w:rFonts w:ascii="Helvetica" w:hAnsi="Helvetica" w:cs="Helvetica"/>
          <w:sz w:val="24"/>
          <w:szCs w:val="24"/>
        </w:rPr>
        <w:t xml:space="preserve">, then this man is involved in corrupt, nefarious activity. He might mask this with wealth and privilege, but he too is implicated in the theme of hypocrisy, as is Inspector Newcomen. Newcomen is motivated by </w:t>
      </w:r>
      <w:r w:rsidR="00D47F29">
        <w:rPr>
          <w:rFonts w:ascii="Helvetica" w:hAnsi="Helvetica" w:cs="Helvetica"/>
          <w:sz w:val="24"/>
          <w:szCs w:val="24"/>
        </w:rPr>
        <w:t>“</w:t>
      </w:r>
      <w:r w:rsidRPr="002E37B0">
        <w:rPr>
          <w:rFonts w:ascii="Helvetica" w:hAnsi="Helvetica" w:cs="Helvetica"/>
          <w:sz w:val="24"/>
          <w:szCs w:val="24"/>
        </w:rPr>
        <w:t>ambition</w:t>
      </w:r>
      <w:r w:rsidR="00D47F29">
        <w:rPr>
          <w:rFonts w:ascii="Helvetica" w:hAnsi="Helvetica" w:cs="Helvetica"/>
          <w:sz w:val="24"/>
          <w:szCs w:val="24"/>
        </w:rPr>
        <w:t>”</w:t>
      </w:r>
      <w:r w:rsidRPr="002E37B0">
        <w:rPr>
          <w:rFonts w:ascii="Helvetica" w:hAnsi="Helvetica" w:cs="Helvetica"/>
          <w:sz w:val="24"/>
          <w:szCs w:val="24"/>
        </w:rPr>
        <w:t xml:space="preserve"> which in this novella is dangerous, and linked to transgression, alerting the reader to potential corruption. Newcomen has little professional gravitas; he is </w:t>
      </w:r>
      <w:r w:rsidR="00D47F29">
        <w:rPr>
          <w:rFonts w:ascii="Helvetica" w:hAnsi="Helvetica" w:cs="Helvetica"/>
          <w:sz w:val="24"/>
          <w:szCs w:val="24"/>
        </w:rPr>
        <w:t>“</w:t>
      </w:r>
      <w:r w:rsidRPr="002E37B0">
        <w:rPr>
          <w:rFonts w:ascii="Helvetica" w:hAnsi="Helvetica" w:cs="Helvetica"/>
          <w:sz w:val="24"/>
          <w:szCs w:val="24"/>
        </w:rPr>
        <w:t>delighted</w:t>
      </w:r>
      <w:r w:rsidR="00D47F29">
        <w:rPr>
          <w:rFonts w:ascii="Helvetica" w:hAnsi="Helvetica" w:cs="Helvetica"/>
          <w:sz w:val="24"/>
          <w:szCs w:val="24"/>
        </w:rPr>
        <w:t>”</w:t>
      </w:r>
      <w:r w:rsidRPr="002E37B0">
        <w:rPr>
          <w:rFonts w:ascii="Helvetica" w:hAnsi="Helvetica" w:cs="Helvetica"/>
          <w:sz w:val="24"/>
          <w:szCs w:val="24"/>
        </w:rPr>
        <w:t xml:space="preserve"> and </w:t>
      </w:r>
      <w:r w:rsidR="00D47F29">
        <w:rPr>
          <w:rFonts w:ascii="Helvetica" w:hAnsi="Helvetica" w:cs="Helvetica"/>
          <w:sz w:val="24"/>
          <w:szCs w:val="24"/>
        </w:rPr>
        <w:t>“</w:t>
      </w:r>
      <w:r w:rsidRPr="002E37B0">
        <w:rPr>
          <w:rFonts w:ascii="Helvetica" w:hAnsi="Helvetica" w:cs="Helvetica"/>
          <w:sz w:val="24"/>
          <w:szCs w:val="24"/>
        </w:rPr>
        <w:t>gratified</w:t>
      </w:r>
      <w:r w:rsidR="00D47F29">
        <w:rPr>
          <w:rFonts w:ascii="Helvetica" w:hAnsi="Helvetica" w:cs="Helvetica"/>
          <w:sz w:val="24"/>
          <w:szCs w:val="24"/>
        </w:rPr>
        <w:t>”</w:t>
      </w:r>
      <w:r w:rsidRPr="002E37B0">
        <w:rPr>
          <w:rFonts w:ascii="Helvetica" w:hAnsi="Helvetica" w:cs="Helvetica"/>
          <w:sz w:val="24"/>
          <w:szCs w:val="24"/>
        </w:rPr>
        <w:t xml:space="preserve"> by the prospect of catching Hyde, not because he respects the law and wishes to protect vulnerable citizens from a murderer, but because he craves recognition and promotion. His name suggests a </w:t>
      </w:r>
      <w:r w:rsidR="00D47F29">
        <w:rPr>
          <w:rFonts w:ascii="Helvetica" w:hAnsi="Helvetica" w:cs="Helvetica"/>
          <w:sz w:val="24"/>
          <w:szCs w:val="24"/>
        </w:rPr>
        <w:t>“</w:t>
      </w:r>
      <w:r w:rsidRPr="002E37B0">
        <w:rPr>
          <w:rFonts w:ascii="Helvetica" w:hAnsi="Helvetica" w:cs="Helvetica"/>
          <w:sz w:val="24"/>
          <w:szCs w:val="24"/>
        </w:rPr>
        <w:t>new-comer</w:t>
      </w:r>
      <w:r w:rsidR="00D47F29">
        <w:rPr>
          <w:rFonts w:ascii="Helvetica" w:hAnsi="Helvetica" w:cs="Helvetica"/>
          <w:sz w:val="24"/>
          <w:szCs w:val="24"/>
        </w:rPr>
        <w:t>”</w:t>
      </w:r>
      <w:r w:rsidRPr="002E37B0">
        <w:rPr>
          <w:rFonts w:ascii="Helvetica" w:hAnsi="Helvetica" w:cs="Helvetica"/>
          <w:sz w:val="24"/>
          <w:szCs w:val="24"/>
        </w:rPr>
        <w:t>, someone not grounded in traditional values, but one who deliberately exploits circumstances for his own benefit. If a hypocrite is someone who claims</w:t>
      </w:r>
      <w:r w:rsidRPr="002E37B0">
        <w:rPr>
          <w:rFonts w:ascii="Helvetica" w:hAnsi="Helvetica" w:cs="Helvetica"/>
          <w:color w:val="202122"/>
          <w:sz w:val="24"/>
          <w:szCs w:val="24"/>
          <w:shd w:val="clear" w:color="auto" w:fill="FFFFFF"/>
        </w:rPr>
        <w:t xml:space="preserve"> to have moral standards but behaves insincerely, then Newcomen is a hypocrite as he is self-serving rather than committed to serving the interests of others in his role as a policeman. These three characters are also ‘whited sepulchres’: concealing, dissembling and feigning goodness.</w:t>
      </w:r>
    </w:p>
    <w:p w14:paraId="62197D1C" w14:textId="3054671A" w:rsidR="0078510B" w:rsidRPr="00C45A20" w:rsidRDefault="00DB6EC1" w:rsidP="00DB6EC1">
      <w:pPr>
        <w:spacing w:before="100" w:beforeAutospacing="1" w:after="100" w:afterAutospacing="1" w:line="240" w:lineRule="auto"/>
        <w:ind w:left="-567"/>
        <w:rPr>
          <w:rFonts w:ascii="Helvetica" w:eastAsia="Times New Roman" w:hAnsi="Helvetica" w:cs="Helvetica"/>
          <w:i/>
          <w:iCs/>
          <w:color w:val="222222"/>
          <w:sz w:val="24"/>
          <w:szCs w:val="24"/>
          <w:lang w:eastAsia="en-GB"/>
        </w:rPr>
      </w:pPr>
      <w:r>
        <w:rPr>
          <w:rFonts w:ascii="Helvetica" w:eastAsia="Times New Roman" w:hAnsi="Helvetica" w:cs="Helvetica"/>
          <w:sz w:val="28"/>
          <w:szCs w:val="28"/>
          <w:lang w:eastAsia="en-GB"/>
        </w:rPr>
        <w:t xml:space="preserve">        </w:t>
      </w:r>
      <w:r w:rsidRPr="00C45A20">
        <w:rPr>
          <w:rFonts w:ascii="Helvetica" w:eastAsia="Times New Roman" w:hAnsi="Helvetica" w:cs="Helvetica"/>
          <w:i/>
          <w:iCs/>
          <w:sz w:val="24"/>
          <w:szCs w:val="24"/>
          <w:lang w:eastAsia="en-GB"/>
        </w:rPr>
        <w:t xml:space="preserve">© </w:t>
      </w:r>
      <w:r w:rsidRPr="00C45A20">
        <w:rPr>
          <w:rFonts w:ascii="Helvetica" w:eastAsia="Times New Roman" w:hAnsi="Helvetica" w:cs="Helvetica"/>
          <w:i/>
          <w:iCs/>
          <w:sz w:val="24"/>
          <w:szCs w:val="24"/>
        </w:rPr>
        <w:t>@mrsmacteach33 in collaboration with The Quotation Bank</w:t>
      </w:r>
      <w:r w:rsidR="00613CCC">
        <w:rPr>
          <w:rFonts w:ascii="Helvetica" w:eastAsia="Times New Roman" w:hAnsi="Helvetica" w:cs="Helvetica"/>
          <w:i/>
          <w:iCs/>
          <w:sz w:val="24"/>
          <w:szCs w:val="24"/>
        </w:rPr>
        <w:t>.</w:t>
      </w:r>
      <w:r w:rsidRPr="00C45A20">
        <w:rPr>
          <w:rFonts w:ascii="Helvetica" w:eastAsia="Times New Roman" w:hAnsi="Helvetica" w:cs="Helvetica"/>
          <w:i/>
          <w:iCs/>
          <w:sz w:val="24"/>
          <w:szCs w:val="24"/>
        </w:rPr>
        <w:t xml:space="preserve"> </w:t>
      </w:r>
      <w:r w:rsidR="0078510B" w:rsidRPr="00C45A20">
        <w:rPr>
          <w:rFonts w:ascii="Helvetica" w:hAnsi="Helvetica" w:cs="Helvetica"/>
          <w:i/>
          <w:iCs/>
          <w:noProof/>
        </w:rPr>
        <w:drawing>
          <wp:anchor distT="0" distB="0" distL="114300" distR="114300" simplePos="0" relativeHeight="251660800" behindDoc="0" locked="0" layoutInCell="1" allowOverlap="1" wp14:anchorId="5FEB3DE5" wp14:editId="4863F81F">
            <wp:simplePos x="0" y="0"/>
            <wp:positionH relativeFrom="column">
              <wp:posOffset>-439420</wp:posOffset>
            </wp:positionH>
            <wp:positionV relativeFrom="paragraph">
              <wp:posOffset>379993</wp:posOffset>
            </wp:positionV>
            <wp:extent cx="6671734" cy="61943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71734" cy="619433"/>
                    </a:xfrm>
                    <a:prstGeom prst="rect">
                      <a:avLst/>
                    </a:prstGeom>
                  </pic:spPr>
                </pic:pic>
              </a:graphicData>
            </a:graphic>
            <wp14:sizeRelH relativeFrom="margin">
              <wp14:pctWidth>0</wp14:pctWidth>
            </wp14:sizeRelH>
            <wp14:sizeRelV relativeFrom="margin">
              <wp14:pctHeight>0</wp14:pctHeight>
            </wp14:sizeRelV>
          </wp:anchor>
        </w:drawing>
      </w:r>
    </w:p>
    <w:p w14:paraId="4617F5FB" w14:textId="3B655863" w:rsidR="00397FD5" w:rsidRPr="00397FD5" w:rsidRDefault="00397FD5" w:rsidP="00397FD5">
      <w:pPr>
        <w:spacing w:before="100" w:beforeAutospacing="1" w:after="100" w:afterAutospacing="1" w:line="240" w:lineRule="auto"/>
        <w:rPr>
          <w:rFonts w:ascii="Helvetica" w:eastAsia="Times New Roman" w:hAnsi="Helvetica" w:cs="Helvetica"/>
          <w:b/>
          <w:bCs/>
          <w:sz w:val="24"/>
          <w:szCs w:val="24"/>
          <w:u w:val="single"/>
          <w:lang w:eastAsia="en-GB"/>
        </w:rPr>
      </w:pPr>
    </w:p>
    <w:sectPr w:rsidR="00397FD5" w:rsidRPr="00397FD5" w:rsidSect="007B4BD0">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258"/>
    <w:multiLevelType w:val="hybridMultilevel"/>
    <w:tmpl w:val="3536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D1367"/>
    <w:multiLevelType w:val="hybridMultilevel"/>
    <w:tmpl w:val="32FA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51"/>
    <w:rsid w:val="00010B8A"/>
    <w:rsid w:val="000250DA"/>
    <w:rsid w:val="00026D4D"/>
    <w:rsid w:val="00033E52"/>
    <w:rsid w:val="000558A6"/>
    <w:rsid w:val="0006267A"/>
    <w:rsid w:val="000657E5"/>
    <w:rsid w:val="00085A14"/>
    <w:rsid w:val="00090FF8"/>
    <w:rsid w:val="00093A11"/>
    <w:rsid w:val="000B4107"/>
    <w:rsid w:val="001957C3"/>
    <w:rsid w:val="00197201"/>
    <w:rsid w:val="001A512C"/>
    <w:rsid w:val="001B73D8"/>
    <w:rsid w:val="001E1004"/>
    <w:rsid w:val="001E7C52"/>
    <w:rsid w:val="001F1355"/>
    <w:rsid w:val="00201C7A"/>
    <w:rsid w:val="00226979"/>
    <w:rsid w:val="00261C9C"/>
    <w:rsid w:val="00263AAB"/>
    <w:rsid w:val="00270CFB"/>
    <w:rsid w:val="002751CC"/>
    <w:rsid w:val="00291586"/>
    <w:rsid w:val="002A3EF2"/>
    <w:rsid w:val="002B0D58"/>
    <w:rsid w:val="002B1516"/>
    <w:rsid w:val="002B3B37"/>
    <w:rsid w:val="002B6DBE"/>
    <w:rsid w:val="002C4D95"/>
    <w:rsid w:val="002D0AF6"/>
    <w:rsid w:val="002D643C"/>
    <w:rsid w:val="002E37B0"/>
    <w:rsid w:val="002E6864"/>
    <w:rsid w:val="002E75BF"/>
    <w:rsid w:val="0030356F"/>
    <w:rsid w:val="0035009E"/>
    <w:rsid w:val="00350FD5"/>
    <w:rsid w:val="00352590"/>
    <w:rsid w:val="00372DE2"/>
    <w:rsid w:val="003961B8"/>
    <w:rsid w:val="00397FD5"/>
    <w:rsid w:val="003A67EE"/>
    <w:rsid w:val="003B2D19"/>
    <w:rsid w:val="003F0F24"/>
    <w:rsid w:val="003F10BE"/>
    <w:rsid w:val="003F14AF"/>
    <w:rsid w:val="00450DFD"/>
    <w:rsid w:val="004518BF"/>
    <w:rsid w:val="004543ED"/>
    <w:rsid w:val="00461AA2"/>
    <w:rsid w:val="00464D1E"/>
    <w:rsid w:val="004A5523"/>
    <w:rsid w:val="004A6B52"/>
    <w:rsid w:val="004A76E2"/>
    <w:rsid w:val="004B01E7"/>
    <w:rsid w:val="004C783C"/>
    <w:rsid w:val="004E572A"/>
    <w:rsid w:val="004F6E9F"/>
    <w:rsid w:val="00550304"/>
    <w:rsid w:val="00563C95"/>
    <w:rsid w:val="00585FAA"/>
    <w:rsid w:val="0059738C"/>
    <w:rsid w:val="005A27CA"/>
    <w:rsid w:val="005B19A3"/>
    <w:rsid w:val="005C585B"/>
    <w:rsid w:val="005E437A"/>
    <w:rsid w:val="00613CCC"/>
    <w:rsid w:val="00621EFC"/>
    <w:rsid w:val="00634085"/>
    <w:rsid w:val="00641390"/>
    <w:rsid w:val="00656DF0"/>
    <w:rsid w:val="00656F51"/>
    <w:rsid w:val="0068222F"/>
    <w:rsid w:val="00691486"/>
    <w:rsid w:val="00697F7C"/>
    <w:rsid w:val="00700183"/>
    <w:rsid w:val="007164B0"/>
    <w:rsid w:val="0074556D"/>
    <w:rsid w:val="007468CB"/>
    <w:rsid w:val="00762B4B"/>
    <w:rsid w:val="0078510B"/>
    <w:rsid w:val="007A4F11"/>
    <w:rsid w:val="007B4BD0"/>
    <w:rsid w:val="007D5FEB"/>
    <w:rsid w:val="007E4456"/>
    <w:rsid w:val="007E5FD8"/>
    <w:rsid w:val="007F5155"/>
    <w:rsid w:val="00820F4A"/>
    <w:rsid w:val="00846DD9"/>
    <w:rsid w:val="0086572F"/>
    <w:rsid w:val="008729CE"/>
    <w:rsid w:val="0088488A"/>
    <w:rsid w:val="008B300A"/>
    <w:rsid w:val="008D6CE5"/>
    <w:rsid w:val="00913889"/>
    <w:rsid w:val="00926959"/>
    <w:rsid w:val="00935A5A"/>
    <w:rsid w:val="00935DE5"/>
    <w:rsid w:val="00971490"/>
    <w:rsid w:val="009772B2"/>
    <w:rsid w:val="00996389"/>
    <w:rsid w:val="009D00F4"/>
    <w:rsid w:val="009F3912"/>
    <w:rsid w:val="009F5B9E"/>
    <w:rsid w:val="00A74EF1"/>
    <w:rsid w:val="00A86431"/>
    <w:rsid w:val="00A9167B"/>
    <w:rsid w:val="00A97930"/>
    <w:rsid w:val="00AC39CE"/>
    <w:rsid w:val="00AF55FD"/>
    <w:rsid w:val="00B0137C"/>
    <w:rsid w:val="00B07A23"/>
    <w:rsid w:val="00B2331C"/>
    <w:rsid w:val="00B53340"/>
    <w:rsid w:val="00B756E7"/>
    <w:rsid w:val="00BA2C88"/>
    <w:rsid w:val="00BD3574"/>
    <w:rsid w:val="00BE36FF"/>
    <w:rsid w:val="00BE39CF"/>
    <w:rsid w:val="00BE7651"/>
    <w:rsid w:val="00C45A20"/>
    <w:rsid w:val="00C6107F"/>
    <w:rsid w:val="00C63805"/>
    <w:rsid w:val="00C766B0"/>
    <w:rsid w:val="00CE38E0"/>
    <w:rsid w:val="00D02E27"/>
    <w:rsid w:val="00D178E1"/>
    <w:rsid w:val="00D22654"/>
    <w:rsid w:val="00D3032B"/>
    <w:rsid w:val="00D46D0A"/>
    <w:rsid w:val="00D47F29"/>
    <w:rsid w:val="00D828F7"/>
    <w:rsid w:val="00D829AC"/>
    <w:rsid w:val="00D96FD8"/>
    <w:rsid w:val="00DA7CFC"/>
    <w:rsid w:val="00DB4DB0"/>
    <w:rsid w:val="00DB6EC1"/>
    <w:rsid w:val="00DD0173"/>
    <w:rsid w:val="00E212EA"/>
    <w:rsid w:val="00E278B2"/>
    <w:rsid w:val="00E310B1"/>
    <w:rsid w:val="00E33737"/>
    <w:rsid w:val="00E34CB5"/>
    <w:rsid w:val="00E74343"/>
    <w:rsid w:val="00E77DBA"/>
    <w:rsid w:val="00E85A00"/>
    <w:rsid w:val="00E85B48"/>
    <w:rsid w:val="00E86126"/>
    <w:rsid w:val="00E938DE"/>
    <w:rsid w:val="00EA0F5F"/>
    <w:rsid w:val="00EA6654"/>
    <w:rsid w:val="00EE60D3"/>
    <w:rsid w:val="00EE6837"/>
    <w:rsid w:val="00EF08B3"/>
    <w:rsid w:val="00EF7388"/>
    <w:rsid w:val="00F573D7"/>
    <w:rsid w:val="00F62FE3"/>
    <w:rsid w:val="00F66847"/>
    <w:rsid w:val="00F73DF7"/>
    <w:rsid w:val="00F81522"/>
    <w:rsid w:val="00F850B5"/>
    <w:rsid w:val="00F85BBF"/>
    <w:rsid w:val="00F86A7E"/>
    <w:rsid w:val="00F95DC9"/>
    <w:rsid w:val="00FA65B9"/>
    <w:rsid w:val="00FC425E"/>
    <w:rsid w:val="00FD7C3E"/>
    <w:rsid w:val="00FE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610A"/>
  <w15:chartTrackingRefBased/>
  <w15:docId w15:val="{9B267541-9CD6-486F-8540-E8E4C72D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F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6F51"/>
    <w:rPr>
      <w:color w:val="0000FF"/>
      <w:u w:val="single"/>
    </w:rPr>
  </w:style>
  <w:style w:type="paragraph" w:styleId="ListParagraph">
    <w:name w:val="List Paragraph"/>
    <w:basedOn w:val="Normal"/>
    <w:uiPriority w:val="34"/>
    <w:qFormat/>
    <w:rsid w:val="004A5523"/>
    <w:pPr>
      <w:ind w:left="720"/>
      <w:contextualSpacing/>
    </w:pPr>
  </w:style>
  <w:style w:type="character" w:styleId="UnresolvedMention">
    <w:name w:val="Unresolved Mention"/>
    <w:basedOn w:val="DefaultParagraphFont"/>
    <w:uiPriority w:val="99"/>
    <w:semiHidden/>
    <w:unhideWhenUsed/>
    <w:rsid w:val="00691486"/>
    <w:rPr>
      <w:color w:val="605E5C"/>
      <w:shd w:val="clear" w:color="auto" w:fill="E1DFDD"/>
    </w:rPr>
  </w:style>
  <w:style w:type="character" w:styleId="FollowedHyperlink">
    <w:name w:val="FollowedHyperlink"/>
    <w:basedOn w:val="DefaultParagraphFont"/>
    <w:uiPriority w:val="99"/>
    <w:semiHidden/>
    <w:unhideWhenUsed/>
    <w:rsid w:val="00DA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4325">
      <w:bodyDiv w:val="1"/>
      <w:marLeft w:val="0"/>
      <w:marRight w:val="0"/>
      <w:marTop w:val="0"/>
      <w:marBottom w:val="0"/>
      <w:divBdr>
        <w:top w:val="none" w:sz="0" w:space="0" w:color="auto"/>
        <w:left w:val="none" w:sz="0" w:space="0" w:color="auto"/>
        <w:bottom w:val="none" w:sz="0" w:space="0" w:color="auto"/>
        <w:right w:val="none" w:sz="0" w:space="0" w:color="auto"/>
      </w:divBdr>
      <w:divsChild>
        <w:div w:id="224993342">
          <w:marLeft w:val="0"/>
          <w:marRight w:val="0"/>
          <w:marTop w:val="0"/>
          <w:marBottom w:val="0"/>
          <w:divBdr>
            <w:top w:val="none" w:sz="0" w:space="0" w:color="auto"/>
            <w:left w:val="none" w:sz="0" w:space="0" w:color="auto"/>
            <w:bottom w:val="none" w:sz="0" w:space="0" w:color="auto"/>
            <w:right w:val="none" w:sz="0" w:space="0" w:color="auto"/>
          </w:divBdr>
        </w:div>
        <w:div w:id="1562594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38176">
              <w:marLeft w:val="0"/>
              <w:marRight w:val="0"/>
              <w:marTop w:val="0"/>
              <w:marBottom w:val="0"/>
              <w:divBdr>
                <w:top w:val="none" w:sz="0" w:space="0" w:color="auto"/>
                <w:left w:val="none" w:sz="0" w:space="0" w:color="auto"/>
                <w:bottom w:val="none" w:sz="0" w:space="0" w:color="auto"/>
                <w:right w:val="none" w:sz="0" w:space="0" w:color="auto"/>
              </w:divBdr>
              <w:divsChild>
                <w:div w:id="20290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iblestudytools.com/matthew/23-27.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www.thequotationbank.co.uk" TargetMode="External"/><Relationship Id="rId4" Type="http://schemas.openxmlformats.org/officeDocument/2006/relationships/numbering" Target="numbering.xml"/><Relationship Id="rId9" Type="http://schemas.openxmlformats.org/officeDocument/2006/relationships/hyperlink" Target="mailto:contact@thequotationbank.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67D5F0C94BBD4F82D2DCD929482005" ma:contentTypeVersion="7" ma:contentTypeDescription="Create a new document." ma:contentTypeScope="" ma:versionID="de0d647a301ecd9065de6c7423da8148">
  <xsd:schema xmlns:xsd="http://www.w3.org/2001/XMLSchema" xmlns:xs="http://www.w3.org/2001/XMLSchema" xmlns:p="http://schemas.microsoft.com/office/2006/metadata/properties" xmlns:ns3="bf9c44bf-8865-49d2-9dd1-ab6b98f49eba" targetNamespace="http://schemas.microsoft.com/office/2006/metadata/properties" ma:root="true" ma:fieldsID="1c2c4fda398633757ca8878941d03a71" ns3:_="">
    <xsd:import namespace="bf9c44bf-8865-49d2-9dd1-ab6b98f49e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c44bf-8865-49d2-9dd1-ab6b98f49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F74AC-703A-403A-9760-630D06B8D479}">
  <ds:schemaRefs>
    <ds:schemaRef ds:uri="http://schemas.microsoft.com/sharepoint/v3/contenttype/forms"/>
  </ds:schemaRefs>
</ds:datastoreItem>
</file>

<file path=customXml/itemProps2.xml><?xml version="1.0" encoding="utf-8"?>
<ds:datastoreItem xmlns:ds="http://schemas.openxmlformats.org/officeDocument/2006/customXml" ds:itemID="{F6B814D4-DF77-4AD9-B72D-28F2742BE9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E61642-5AB8-4B1E-BC23-5F5972F5D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c44bf-8865-49d2-9dd1-ab6b98f49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Quotation Bank</dc:creator>
  <cp:keywords/>
  <dc:description/>
  <cp:lastModifiedBy>Quotation Bank</cp:lastModifiedBy>
  <cp:revision>17</cp:revision>
  <dcterms:created xsi:type="dcterms:W3CDTF">2021-12-15T17:33:00Z</dcterms:created>
  <dcterms:modified xsi:type="dcterms:W3CDTF">2021-12-16T09:11:00Z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0x0101008667D5F0C94BBD4F82D2DCD929482005</vt:lpwstr>
  </property>
</Properties>
</file>