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7A750" w14:textId="77777777" w:rsidR="00521088" w:rsidRDefault="00521088">
      <w:pPr>
        <w:pBdr>
          <w:top w:val="nil"/>
          <w:left w:val="nil"/>
          <w:bottom w:val="nil"/>
          <w:right w:val="nil"/>
          <w:between w:val="nil"/>
        </w:pBdr>
      </w:pPr>
    </w:p>
    <w:p w14:paraId="2FEDE839" w14:textId="593F5333" w:rsidR="00F53014" w:rsidRDefault="00730713">
      <w:pPr>
        <w:pBdr>
          <w:top w:val="nil"/>
          <w:left w:val="nil"/>
          <w:bottom w:val="nil"/>
          <w:right w:val="nil"/>
          <w:between w:val="nil"/>
        </w:pBdr>
        <w:rPr>
          <w:color w:val="000000"/>
        </w:rPr>
      </w:pPr>
      <w:r>
        <w:t>February</w:t>
      </w:r>
      <w:r w:rsidR="00205D8A">
        <w:t xml:space="preserve"> </w:t>
      </w:r>
      <w:proofErr w:type="gramStart"/>
      <w:r w:rsidR="00205D8A" w:rsidRPr="00D019CA">
        <w:rPr>
          <w:highlight w:val="yellow"/>
        </w:rPr>
        <w:t>[  ]</w:t>
      </w:r>
      <w:proofErr w:type="gramEnd"/>
      <w:r w:rsidR="003A1402">
        <w:rPr>
          <w:color w:val="000000"/>
        </w:rPr>
        <w:t xml:space="preserve">, </w:t>
      </w:r>
      <w:r>
        <w:rPr>
          <w:color w:val="000000"/>
        </w:rPr>
        <w:t>2024</w:t>
      </w:r>
    </w:p>
    <w:p w14:paraId="54F2A43A" w14:textId="77777777" w:rsidR="00F53014" w:rsidRDefault="00F53014">
      <w:pPr>
        <w:pBdr>
          <w:top w:val="nil"/>
          <w:left w:val="nil"/>
          <w:bottom w:val="nil"/>
          <w:right w:val="nil"/>
          <w:between w:val="nil"/>
        </w:pBdr>
        <w:rPr>
          <w:color w:val="000000"/>
        </w:rPr>
      </w:pPr>
    </w:p>
    <w:p w14:paraId="7B9336E2" w14:textId="14A9A7CA" w:rsidR="00F53014" w:rsidRDefault="003A1402">
      <w:pPr>
        <w:pBdr>
          <w:top w:val="nil"/>
          <w:left w:val="nil"/>
          <w:bottom w:val="nil"/>
          <w:right w:val="nil"/>
          <w:between w:val="nil"/>
        </w:pBdr>
        <w:rPr>
          <w:color w:val="000000"/>
        </w:rPr>
      </w:pPr>
      <w:r w:rsidRPr="00B4367C">
        <w:rPr>
          <w:color w:val="000000"/>
          <w:highlight w:val="yellow"/>
        </w:rPr>
        <w:t>[</w:t>
      </w:r>
      <w:r w:rsidR="00B4367C" w:rsidRPr="00B4367C">
        <w:rPr>
          <w:highlight w:val="yellow"/>
        </w:rPr>
        <w:t xml:space="preserve">Your </w:t>
      </w:r>
      <w:proofErr w:type="gramStart"/>
      <w:r w:rsidR="00B4367C" w:rsidRPr="00B4367C">
        <w:rPr>
          <w:highlight w:val="yellow"/>
        </w:rPr>
        <w:t>Organization</w:t>
      </w:r>
      <w:proofErr w:type="gramEnd"/>
      <w:r w:rsidR="00B4367C" w:rsidRPr="00B4367C">
        <w:rPr>
          <w:highlight w:val="yellow"/>
        </w:rPr>
        <w:t>]</w:t>
      </w:r>
    </w:p>
    <w:p w14:paraId="59AD78EE" w14:textId="77777777" w:rsidR="00F53014" w:rsidRDefault="003A1402">
      <w:pPr>
        <w:pBdr>
          <w:top w:val="nil"/>
          <w:left w:val="nil"/>
          <w:bottom w:val="nil"/>
          <w:right w:val="nil"/>
          <w:between w:val="nil"/>
        </w:pBdr>
        <w:rPr>
          <w:color w:val="000000"/>
        </w:rPr>
      </w:pPr>
      <w:r>
        <w:rPr>
          <w:color w:val="000000"/>
        </w:rPr>
        <w:t>[</w:t>
      </w:r>
      <w:r>
        <w:rPr>
          <w:color w:val="000000"/>
          <w:highlight w:val="yellow"/>
        </w:rPr>
        <w:t>Address</w:t>
      </w:r>
      <w:r>
        <w:rPr>
          <w:color w:val="000000"/>
        </w:rPr>
        <w:t>]</w:t>
      </w:r>
    </w:p>
    <w:p w14:paraId="35A7DEC7" w14:textId="77777777" w:rsidR="00F53014" w:rsidRDefault="00F53014">
      <w:pPr>
        <w:pBdr>
          <w:top w:val="nil"/>
          <w:left w:val="nil"/>
          <w:bottom w:val="nil"/>
          <w:right w:val="nil"/>
          <w:between w:val="nil"/>
        </w:pBdr>
        <w:rPr>
          <w:color w:val="000000"/>
        </w:rPr>
      </w:pPr>
    </w:p>
    <w:p w14:paraId="559B7978" w14:textId="77777777" w:rsidR="00B85B0A" w:rsidRDefault="003A1402" w:rsidP="00B85B0A">
      <w:pPr>
        <w:pBdr>
          <w:top w:val="nil"/>
          <w:left w:val="nil"/>
          <w:bottom w:val="nil"/>
          <w:right w:val="nil"/>
          <w:between w:val="nil"/>
        </w:pBdr>
        <w:ind w:firstLine="720"/>
        <w:rPr>
          <w:b/>
          <w:iCs/>
          <w:color w:val="000000"/>
        </w:rPr>
      </w:pPr>
      <w:r w:rsidRPr="00B85B0A">
        <w:rPr>
          <w:b/>
          <w:iCs/>
          <w:color w:val="000000"/>
        </w:rPr>
        <w:t>Re:</w:t>
      </w:r>
      <w:r w:rsidR="00B85B0A">
        <w:rPr>
          <w:b/>
          <w:i/>
          <w:color w:val="000000"/>
        </w:rPr>
        <w:tab/>
      </w:r>
      <w:r w:rsidR="00B85B0A">
        <w:rPr>
          <w:b/>
          <w:iCs/>
          <w:color w:val="000000"/>
        </w:rPr>
        <w:t>New York Health Equity Reform; Social Care Networks</w:t>
      </w:r>
    </w:p>
    <w:p w14:paraId="041A53EF" w14:textId="3FB4AC2A" w:rsidR="00F53014" w:rsidRDefault="00533C59" w:rsidP="00B85B0A">
      <w:pPr>
        <w:pBdr>
          <w:top w:val="nil"/>
          <w:left w:val="nil"/>
          <w:bottom w:val="nil"/>
          <w:right w:val="nil"/>
          <w:between w:val="nil"/>
        </w:pBdr>
        <w:ind w:left="720" w:firstLine="720"/>
        <w:rPr>
          <w:i/>
          <w:color w:val="000000"/>
        </w:rPr>
      </w:pPr>
      <w:r w:rsidRPr="00B85B0A">
        <w:rPr>
          <w:b/>
          <w:iCs/>
          <w:color w:val="000000"/>
        </w:rPr>
        <w:t>Letter of Intent</w:t>
      </w:r>
      <w:r w:rsidR="00B85B0A">
        <w:rPr>
          <w:b/>
          <w:iCs/>
          <w:color w:val="000000"/>
        </w:rPr>
        <w:t xml:space="preserve"> to Support Lead Entity Designation for </w:t>
      </w:r>
      <w:r w:rsidR="00B4367C">
        <w:rPr>
          <w:b/>
          <w:iCs/>
          <w:color w:val="000000"/>
        </w:rPr>
        <w:t>Brightpoint Care</w:t>
      </w:r>
    </w:p>
    <w:p w14:paraId="0112B0EC" w14:textId="77777777" w:rsidR="00F53014" w:rsidRDefault="00F53014">
      <w:pPr>
        <w:pBdr>
          <w:top w:val="nil"/>
          <w:left w:val="nil"/>
          <w:bottom w:val="nil"/>
          <w:right w:val="nil"/>
          <w:between w:val="nil"/>
        </w:pBdr>
        <w:rPr>
          <w:color w:val="000000"/>
        </w:rPr>
      </w:pPr>
    </w:p>
    <w:p w14:paraId="1408EB23" w14:textId="69DCAE99" w:rsidR="00F53014" w:rsidRDefault="00B4367C">
      <w:pPr>
        <w:pBdr>
          <w:top w:val="nil"/>
          <w:left w:val="nil"/>
          <w:bottom w:val="nil"/>
          <w:right w:val="nil"/>
          <w:between w:val="nil"/>
        </w:pBdr>
        <w:rPr>
          <w:color w:val="000000"/>
        </w:rPr>
      </w:pPr>
      <w:r>
        <w:rPr>
          <w:color w:val="000000"/>
        </w:rPr>
        <w:t>Dear Colleague,</w:t>
      </w:r>
    </w:p>
    <w:p w14:paraId="050898B9" w14:textId="77777777" w:rsidR="00B4367C" w:rsidRDefault="00B4367C">
      <w:pPr>
        <w:pBdr>
          <w:top w:val="nil"/>
          <w:left w:val="nil"/>
          <w:bottom w:val="nil"/>
          <w:right w:val="nil"/>
          <w:between w:val="nil"/>
        </w:pBdr>
        <w:rPr>
          <w:color w:val="000000"/>
        </w:rPr>
      </w:pPr>
    </w:p>
    <w:p w14:paraId="564A4ECC" w14:textId="61ADF6A9" w:rsidR="002277FC" w:rsidRDefault="00B4367C">
      <w:pPr>
        <w:pBdr>
          <w:top w:val="nil"/>
          <w:left w:val="nil"/>
          <w:bottom w:val="nil"/>
          <w:right w:val="nil"/>
          <w:between w:val="nil"/>
        </w:pBdr>
        <w:ind w:firstLine="720"/>
        <w:rPr>
          <w:color w:val="000000"/>
        </w:rPr>
      </w:pPr>
      <w:r>
        <w:rPr>
          <w:color w:val="000000"/>
        </w:rPr>
        <w:t>Brightpoint Care</w:t>
      </w:r>
      <w:r w:rsidR="00317FD8">
        <w:rPr>
          <w:color w:val="000000"/>
        </w:rPr>
        <w:t xml:space="preserve"> </w:t>
      </w:r>
      <w:r w:rsidR="003A1402">
        <w:rPr>
          <w:color w:val="000000"/>
        </w:rPr>
        <w:t>(</w:t>
      </w:r>
      <w:r w:rsidR="009F1EEB">
        <w:rPr>
          <w:color w:val="000000"/>
        </w:rPr>
        <w:t>or “</w:t>
      </w:r>
      <w:r w:rsidR="009F1EEB">
        <w:rPr>
          <w:b/>
          <w:bCs/>
          <w:i/>
          <w:iCs/>
          <w:color w:val="000000"/>
        </w:rPr>
        <w:t>we</w:t>
      </w:r>
      <w:r w:rsidR="009F1EEB">
        <w:rPr>
          <w:color w:val="000000"/>
        </w:rPr>
        <w:t>”</w:t>
      </w:r>
      <w:r w:rsidR="003A1402">
        <w:rPr>
          <w:color w:val="000000"/>
        </w:rPr>
        <w:t>) is excited to partner with [</w:t>
      </w:r>
      <w:r w:rsidRPr="00B4367C">
        <w:rPr>
          <w:color w:val="000000"/>
          <w:highlight w:val="yellow"/>
        </w:rPr>
        <w:t>Your Organization</w:t>
      </w:r>
      <w:r w:rsidR="003D55CF">
        <w:rPr>
          <w:color w:val="000000"/>
        </w:rPr>
        <w:t>]</w:t>
      </w:r>
      <w:r w:rsidR="00560C9F">
        <w:rPr>
          <w:color w:val="000000"/>
        </w:rPr>
        <w:t xml:space="preserve"> (“</w:t>
      </w:r>
      <w:r w:rsidR="00560C9F" w:rsidRPr="00560C9F">
        <w:rPr>
          <w:b/>
          <w:bCs/>
          <w:i/>
          <w:iCs/>
          <w:color w:val="000000"/>
        </w:rPr>
        <w:t>Participant</w:t>
      </w:r>
      <w:r w:rsidR="00560C9F">
        <w:rPr>
          <w:color w:val="000000"/>
        </w:rPr>
        <w:t>”</w:t>
      </w:r>
      <w:r w:rsidR="00986864">
        <w:rPr>
          <w:color w:val="000000"/>
        </w:rPr>
        <w:t xml:space="preserve"> or “</w:t>
      </w:r>
      <w:r w:rsidR="00986864">
        <w:rPr>
          <w:b/>
          <w:bCs/>
          <w:i/>
          <w:iCs/>
          <w:color w:val="000000"/>
        </w:rPr>
        <w:t>you</w:t>
      </w:r>
      <w:r w:rsidR="00986864">
        <w:rPr>
          <w:color w:val="000000"/>
        </w:rPr>
        <w:t>”</w:t>
      </w:r>
      <w:r w:rsidR="00560C9F">
        <w:rPr>
          <w:color w:val="000000"/>
        </w:rPr>
        <w:t>)</w:t>
      </w:r>
      <w:r w:rsidR="003D55CF">
        <w:rPr>
          <w:color w:val="000000"/>
        </w:rPr>
        <w:t xml:space="preserve">, a </w:t>
      </w:r>
      <w:r w:rsidR="003D55CF">
        <w:t>Community Based Organization</w:t>
      </w:r>
      <w:r w:rsidR="003A1402">
        <w:rPr>
          <w:color w:val="000000"/>
        </w:rPr>
        <w:t xml:space="preserve"> (“</w:t>
      </w:r>
      <w:r w:rsidR="003D55CF">
        <w:rPr>
          <w:b/>
          <w:i/>
          <w:color w:val="000000"/>
        </w:rPr>
        <w:t>CBO</w:t>
      </w:r>
      <w:r w:rsidR="003A1402">
        <w:rPr>
          <w:color w:val="000000"/>
        </w:rPr>
        <w:t>”)</w:t>
      </w:r>
      <w:r w:rsidR="00D019CA">
        <w:rPr>
          <w:color w:val="000000"/>
        </w:rPr>
        <w:t>,</w:t>
      </w:r>
      <w:r w:rsidR="003A1402">
        <w:rPr>
          <w:color w:val="000000"/>
        </w:rPr>
        <w:t xml:space="preserve"> </w:t>
      </w:r>
      <w:r w:rsidR="002277FC">
        <w:rPr>
          <w:color w:val="000000"/>
        </w:rPr>
        <w:t>in connection with the</w:t>
      </w:r>
      <w:r w:rsidR="00617E9C" w:rsidRPr="00DD11F0">
        <w:rPr>
          <w:color w:val="000000"/>
        </w:rPr>
        <w:t xml:space="preserve"> New York Health Equity Reform</w:t>
      </w:r>
      <w:r w:rsidR="003A1402" w:rsidRPr="00DD11F0">
        <w:rPr>
          <w:color w:val="000000"/>
        </w:rPr>
        <w:t xml:space="preserve"> (</w:t>
      </w:r>
      <w:r w:rsidR="00617E9C" w:rsidRPr="00DD11F0">
        <w:rPr>
          <w:color w:val="000000"/>
        </w:rPr>
        <w:t>“</w:t>
      </w:r>
      <w:r w:rsidR="00617E9C" w:rsidRPr="00DD11F0">
        <w:rPr>
          <w:b/>
          <w:bCs/>
          <w:i/>
          <w:iCs/>
          <w:color w:val="000000"/>
        </w:rPr>
        <w:t>NYHER</w:t>
      </w:r>
      <w:r w:rsidR="003A1402" w:rsidRPr="00DD11F0">
        <w:rPr>
          <w:color w:val="000000"/>
        </w:rPr>
        <w:t xml:space="preserve">”) </w:t>
      </w:r>
      <w:r w:rsidR="00424C8F">
        <w:rPr>
          <w:color w:val="000000"/>
        </w:rPr>
        <w:t>1115 W</w:t>
      </w:r>
      <w:r w:rsidR="00B85B0A">
        <w:rPr>
          <w:color w:val="000000"/>
        </w:rPr>
        <w:t xml:space="preserve">aiver and its designation of lead entities to become a </w:t>
      </w:r>
      <w:r w:rsidR="00DD11F0" w:rsidRPr="00DD11F0">
        <w:rPr>
          <w:color w:val="000000"/>
        </w:rPr>
        <w:t>Social Care Network (“</w:t>
      </w:r>
      <w:r w:rsidR="00DD11F0" w:rsidRPr="00DD11F0">
        <w:rPr>
          <w:b/>
          <w:bCs/>
          <w:i/>
          <w:iCs/>
          <w:color w:val="000000"/>
        </w:rPr>
        <w:t>SCN</w:t>
      </w:r>
      <w:r w:rsidR="00DD11F0" w:rsidRPr="00DD11F0">
        <w:rPr>
          <w:color w:val="000000"/>
        </w:rPr>
        <w:t>”)</w:t>
      </w:r>
      <w:r w:rsidR="00424C8F">
        <w:rPr>
          <w:color w:val="000000"/>
        </w:rPr>
        <w:t xml:space="preserve"> under Request for Application #20417 (the “</w:t>
      </w:r>
      <w:r w:rsidR="00424C8F" w:rsidRPr="00424C8F">
        <w:rPr>
          <w:b/>
          <w:bCs/>
          <w:i/>
          <w:iCs/>
          <w:color w:val="000000"/>
        </w:rPr>
        <w:t>RFA</w:t>
      </w:r>
      <w:r w:rsidR="00424C8F">
        <w:rPr>
          <w:color w:val="000000"/>
        </w:rPr>
        <w:t>”)</w:t>
      </w:r>
      <w:r w:rsidR="002277FC">
        <w:rPr>
          <w:color w:val="000000"/>
        </w:rPr>
        <w:t>.</w:t>
      </w:r>
      <w:r w:rsidR="00206F85">
        <w:rPr>
          <w:color w:val="000000"/>
        </w:rPr>
        <w:t xml:space="preserve"> </w:t>
      </w:r>
      <w:r w:rsidR="00E800EB">
        <w:rPr>
          <w:color w:val="000000"/>
        </w:rPr>
        <w:t>As stated in the RFA, t</w:t>
      </w:r>
      <w:r w:rsidR="00D019CA">
        <w:rPr>
          <w:color w:val="000000"/>
        </w:rPr>
        <w:t>he New York State Department of Health (“</w:t>
      </w:r>
      <w:r w:rsidR="00D019CA" w:rsidRPr="00D019CA">
        <w:rPr>
          <w:b/>
          <w:bCs/>
          <w:i/>
          <w:iCs/>
          <w:color w:val="000000"/>
        </w:rPr>
        <w:t>DOH</w:t>
      </w:r>
      <w:r w:rsidR="00D019CA">
        <w:rPr>
          <w:color w:val="000000"/>
        </w:rPr>
        <w:t>”)</w:t>
      </w:r>
      <w:r w:rsidR="006C29EC">
        <w:rPr>
          <w:color w:val="000000"/>
        </w:rPr>
        <w:t xml:space="preserve"> created the </w:t>
      </w:r>
      <w:r w:rsidR="00424C8F">
        <w:rPr>
          <w:color w:val="000000"/>
        </w:rPr>
        <w:t xml:space="preserve">NYHER </w:t>
      </w:r>
      <w:r w:rsidR="00D019CA">
        <w:rPr>
          <w:color w:val="000000"/>
        </w:rPr>
        <w:t>Waiver</w:t>
      </w:r>
      <w:r w:rsidR="006C29EC">
        <w:rPr>
          <w:color w:val="000000"/>
        </w:rPr>
        <w:t xml:space="preserve"> </w:t>
      </w:r>
      <w:r w:rsidR="00424C8F">
        <w:rPr>
          <w:color w:val="000000"/>
        </w:rPr>
        <w:t xml:space="preserve">and SCNs </w:t>
      </w:r>
      <w:r w:rsidR="006C29EC">
        <w:rPr>
          <w:color w:val="000000"/>
        </w:rPr>
        <w:t>to “build a more resilient, flexible, and accessible social care delivery system that reduces health disparities and advances health equity</w:t>
      </w:r>
      <w:r w:rsidR="00D019CA">
        <w:rPr>
          <w:color w:val="000000"/>
        </w:rPr>
        <w:t>.</w:t>
      </w:r>
      <w:r w:rsidR="006C29EC">
        <w:rPr>
          <w:color w:val="000000"/>
        </w:rPr>
        <w:t>”</w:t>
      </w:r>
      <w:r w:rsidR="003926FF">
        <w:rPr>
          <w:color w:val="000000"/>
        </w:rPr>
        <w:t xml:space="preserve"> </w:t>
      </w:r>
      <w:r w:rsidR="002277FC">
        <w:rPr>
          <w:color w:val="000000"/>
        </w:rPr>
        <w:t xml:space="preserve">Joining </w:t>
      </w:r>
      <w:r>
        <w:rPr>
          <w:color w:val="000000"/>
        </w:rPr>
        <w:t>Brightpoint Care</w:t>
      </w:r>
      <w:r w:rsidR="002277FC">
        <w:rPr>
          <w:color w:val="000000"/>
        </w:rPr>
        <w:t xml:space="preserve">’s SCN </w:t>
      </w:r>
      <w:r w:rsidR="00424C8F">
        <w:rPr>
          <w:color w:val="000000"/>
        </w:rPr>
        <w:t xml:space="preserve">application </w:t>
      </w:r>
      <w:r w:rsidR="002277FC">
        <w:rPr>
          <w:color w:val="000000"/>
        </w:rPr>
        <w:t xml:space="preserve">presents Participant with a unique opportunity to participate in the advancement of </w:t>
      </w:r>
      <w:r w:rsidR="00424C8F">
        <w:rPr>
          <w:color w:val="000000"/>
        </w:rPr>
        <w:t xml:space="preserve">the New York State Medicaid program’s </w:t>
      </w:r>
      <w:r w:rsidR="002277FC">
        <w:rPr>
          <w:color w:val="000000"/>
        </w:rPr>
        <w:t xml:space="preserve">goals under the </w:t>
      </w:r>
      <w:r w:rsidR="00424C8F">
        <w:rPr>
          <w:color w:val="000000"/>
        </w:rPr>
        <w:t xml:space="preserve">NYHER </w:t>
      </w:r>
      <w:r w:rsidR="002277FC">
        <w:rPr>
          <w:color w:val="000000"/>
        </w:rPr>
        <w:t>Waiver, including through expanding access to, and the delivery of, care and services to</w:t>
      </w:r>
      <w:r w:rsidR="00986864">
        <w:rPr>
          <w:color w:val="000000"/>
        </w:rPr>
        <w:t>,</w:t>
      </w:r>
      <w:r w:rsidR="002277FC">
        <w:rPr>
          <w:color w:val="000000"/>
        </w:rPr>
        <w:t xml:space="preserve"> Medicaid recipients to address social determinants of care</w:t>
      </w:r>
      <w:r w:rsidR="00986864">
        <w:rPr>
          <w:color w:val="000000"/>
        </w:rPr>
        <w:t xml:space="preserve">, representing a unique payment opportunity for </w:t>
      </w:r>
      <w:r w:rsidR="00424C8F">
        <w:rPr>
          <w:color w:val="000000"/>
        </w:rPr>
        <w:t>you</w:t>
      </w:r>
      <w:r w:rsidR="002277FC">
        <w:rPr>
          <w:color w:val="000000"/>
        </w:rPr>
        <w:t>.</w:t>
      </w:r>
    </w:p>
    <w:p w14:paraId="3D66CF2D" w14:textId="77777777" w:rsidR="002277FC" w:rsidRDefault="002277FC">
      <w:pPr>
        <w:pBdr>
          <w:top w:val="nil"/>
          <w:left w:val="nil"/>
          <w:bottom w:val="nil"/>
          <w:right w:val="nil"/>
          <w:between w:val="nil"/>
        </w:pBdr>
        <w:ind w:firstLine="720"/>
        <w:rPr>
          <w:color w:val="000000"/>
        </w:rPr>
      </w:pPr>
    </w:p>
    <w:p w14:paraId="650486A5" w14:textId="54EB5557" w:rsidR="008A3FD8" w:rsidRDefault="003A1402" w:rsidP="004A34D0">
      <w:pPr>
        <w:pBdr>
          <w:top w:val="nil"/>
          <w:left w:val="nil"/>
          <w:bottom w:val="nil"/>
          <w:right w:val="nil"/>
          <w:between w:val="nil"/>
        </w:pBdr>
        <w:ind w:firstLine="720"/>
        <w:rPr>
          <w:color w:val="000000"/>
        </w:rPr>
      </w:pPr>
      <w:r>
        <w:rPr>
          <w:color w:val="000000"/>
        </w:rPr>
        <w:t xml:space="preserve">In </w:t>
      </w:r>
      <w:r w:rsidR="00424C8F">
        <w:rPr>
          <w:color w:val="000000"/>
        </w:rPr>
        <w:t>response to the RFA</w:t>
      </w:r>
      <w:r>
        <w:rPr>
          <w:color w:val="000000"/>
        </w:rPr>
        <w:t xml:space="preserve">, </w:t>
      </w:r>
      <w:r w:rsidR="00B4367C">
        <w:rPr>
          <w:color w:val="000000"/>
        </w:rPr>
        <w:t>Brightpoint Care</w:t>
      </w:r>
      <w:r>
        <w:rPr>
          <w:color w:val="000000"/>
        </w:rPr>
        <w:t xml:space="preserve"> intend</w:t>
      </w:r>
      <w:r w:rsidR="00986864">
        <w:rPr>
          <w:color w:val="000000"/>
        </w:rPr>
        <w:t>s</w:t>
      </w:r>
      <w:r>
        <w:rPr>
          <w:color w:val="000000"/>
        </w:rPr>
        <w:t xml:space="preserve"> to submit an application </w:t>
      </w:r>
      <w:r w:rsidR="002622D7">
        <w:rPr>
          <w:color w:val="000000"/>
        </w:rPr>
        <w:t xml:space="preserve">for designation as a </w:t>
      </w:r>
      <w:r w:rsidR="00FD08AC">
        <w:rPr>
          <w:color w:val="000000"/>
        </w:rPr>
        <w:t xml:space="preserve">SCN </w:t>
      </w:r>
      <w:r w:rsidR="002622D7">
        <w:rPr>
          <w:color w:val="000000"/>
        </w:rPr>
        <w:t>l</w:t>
      </w:r>
      <w:r w:rsidR="00FD08AC">
        <w:rPr>
          <w:color w:val="000000"/>
        </w:rPr>
        <w:t>ead</w:t>
      </w:r>
      <w:r w:rsidR="00986864">
        <w:rPr>
          <w:color w:val="000000"/>
        </w:rPr>
        <w:t xml:space="preserve"> for </w:t>
      </w:r>
      <w:proofErr w:type="gramStart"/>
      <w:r w:rsidR="00424C8F">
        <w:rPr>
          <w:color w:val="000000"/>
        </w:rPr>
        <w:t>Region</w:t>
      </w:r>
      <w:proofErr w:type="gramEnd"/>
      <w:r w:rsidR="00424C8F">
        <w:rPr>
          <w:color w:val="000000"/>
        </w:rPr>
        <w:t xml:space="preserve"> 3: Hudson Valley, inclusive of Dutchess, Orange, Putnam, Rockland, Sullivan, Ulster and Westchester Counties</w:t>
      </w:r>
      <w:r w:rsidR="00E800EB">
        <w:rPr>
          <w:color w:val="000000"/>
        </w:rPr>
        <w:t xml:space="preserve"> (the “</w:t>
      </w:r>
      <w:r w:rsidR="00E800EB" w:rsidRPr="00E800EB">
        <w:rPr>
          <w:b/>
          <w:bCs/>
          <w:i/>
          <w:iCs/>
          <w:color w:val="000000"/>
        </w:rPr>
        <w:t>SCN Region</w:t>
      </w:r>
      <w:r w:rsidR="00E800EB">
        <w:rPr>
          <w:color w:val="000000"/>
        </w:rPr>
        <w:t>”)</w:t>
      </w:r>
      <w:r w:rsidR="00424C8F">
        <w:rPr>
          <w:color w:val="000000"/>
        </w:rPr>
        <w:t xml:space="preserve">. </w:t>
      </w:r>
      <w:r w:rsidR="009F1EEB">
        <w:rPr>
          <w:color w:val="000000"/>
        </w:rPr>
        <w:t xml:space="preserve">By executing this </w:t>
      </w:r>
      <w:r w:rsidR="00424C8F">
        <w:rPr>
          <w:color w:val="000000"/>
        </w:rPr>
        <w:t>non-binding</w:t>
      </w:r>
      <w:r w:rsidR="00B4367C">
        <w:rPr>
          <w:color w:val="000000"/>
        </w:rPr>
        <w:t>, non-exclusive</w:t>
      </w:r>
      <w:r w:rsidR="00424C8F">
        <w:rPr>
          <w:color w:val="000000"/>
        </w:rPr>
        <w:t xml:space="preserve"> </w:t>
      </w:r>
      <w:r w:rsidR="009F1EEB">
        <w:rPr>
          <w:color w:val="000000"/>
        </w:rPr>
        <w:t>letter of intent (“</w:t>
      </w:r>
      <w:r w:rsidR="009F1EEB">
        <w:rPr>
          <w:b/>
          <w:bCs/>
          <w:i/>
          <w:iCs/>
          <w:color w:val="000000"/>
        </w:rPr>
        <w:t>LOI</w:t>
      </w:r>
      <w:r w:rsidR="009F1EEB">
        <w:rPr>
          <w:color w:val="000000"/>
        </w:rPr>
        <w:t>”)</w:t>
      </w:r>
      <w:r w:rsidR="00986864">
        <w:rPr>
          <w:color w:val="000000"/>
        </w:rPr>
        <w:t xml:space="preserve">, you agree to allow </w:t>
      </w:r>
      <w:r w:rsidR="00B4367C">
        <w:rPr>
          <w:color w:val="000000"/>
        </w:rPr>
        <w:t>Brightpoint Care</w:t>
      </w:r>
      <w:r w:rsidR="00986864">
        <w:rPr>
          <w:color w:val="000000"/>
        </w:rPr>
        <w:t xml:space="preserve"> to list Participant as a CBO in our network</w:t>
      </w:r>
      <w:r w:rsidR="00FD08AC">
        <w:rPr>
          <w:color w:val="000000"/>
        </w:rPr>
        <w:t xml:space="preserve"> </w:t>
      </w:r>
      <w:r w:rsidR="00986864">
        <w:rPr>
          <w:color w:val="000000"/>
        </w:rPr>
        <w:t xml:space="preserve">on our application. Being listed on our application does not </w:t>
      </w:r>
      <w:r w:rsidR="00706AEE">
        <w:rPr>
          <w:color w:val="000000"/>
        </w:rPr>
        <w:t xml:space="preserve">obligate you to participate in the SCN, should </w:t>
      </w:r>
      <w:r w:rsidR="00B4367C">
        <w:rPr>
          <w:color w:val="000000"/>
        </w:rPr>
        <w:t>Brightpoint Care</w:t>
      </w:r>
      <w:r w:rsidR="00706AEE">
        <w:rPr>
          <w:color w:val="000000"/>
        </w:rPr>
        <w:t xml:space="preserve"> be selected</w:t>
      </w:r>
      <w:r w:rsidR="00424C8F">
        <w:rPr>
          <w:color w:val="000000"/>
        </w:rPr>
        <w:t xml:space="preserve">, but allows us to show DOH what </w:t>
      </w:r>
      <w:r w:rsidR="00B4367C">
        <w:rPr>
          <w:color w:val="000000"/>
        </w:rPr>
        <w:t>Brightpoint Care</w:t>
      </w:r>
      <w:r w:rsidR="00424C8F">
        <w:rPr>
          <w:color w:val="000000"/>
        </w:rPr>
        <w:t>’s CBO network may look like if it is selected as an SCN</w:t>
      </w:r>
      <w:r w:rsidR="00706AEE">
        <w:rPr>
          <w:color w:val="000000"/>
        </w:rPr>
        <w:t>.</w:t>
      </w:r>
      <w:r w:rsidR="00125C81">
        <w:rPr>
          <w:color w:val="000000"/>
        </w:rPr>
        <w:t xml:space="preserve"> </w:t>
      </w:r>
      <w:r w:rsidR="00706AEE">
        <w:rPr>
          <w:color w:val="000000"/>
        </w:rPr>
        <w:t xml:space="preserve">Any participation in </w:t>
      </w:r>
      <w:r w:rsidR="00B4367C">
        <w:rPr>
          <w:color w:val="000000"/>
        </w:rPr>
        <w:t>Brightpoint Care</w:t>
      </w:r>
      <w:r w:rsidR="00706AEE">
        <w:rPr>
          <w:color w:val="000000"/>
        </w:rPr>
        <w:t xml:space="preserve">’s SCN will be subject to a separate </w:t>
      </w:r>
      <w:r w:rsidR="00255C66">
        <w:rPr>
          <w:color w:val="000000"/>
        </w:rPr>
        <w:t>P</w:t>
      </w:r>
      <w:r w:rsidR="00706AEE">
        <w:rPr>
          <w:color w:val="000000"/>
        </w:rPr>
        <w:t xml:space="preserve">articipation </w:t>
      </w:r>
      <w:r w:rsidR="00255C66">
        <w:rPr>
          <w:color w:val="000000"/>
        </w:rPr>
        <w:t>A</w:t>
      </w:r>
      <w:r w:rsidR="00706AEE">
        <w:rPr>
          <w:color w:val="000000"/>
        </w:rPr>
        <w:t>greement</w:t>
      </w:r>
      <w:r w:rsidR="00255C66">
        <w:rPr>
          <w:color w:val="000000"/>
        </w:rPr>
        <w:t xml:space="preserve"> (as defined below)</w:t>
      </w:r>
      <w:r w:rsidR="00706AEE">
        <w:rPr>
          <w:color w:val="000000"/>
        </w:rPr>
        <w:t xml:space="preserve"> between </w:t>
      </w:r>
      <w:r w:rsidR="00B4367C">
        <w:rPr>
          <w:color w:val="000000"/>
        </w:rPr>
        <w:t>Brightpoint Care</w:t>
      </w:r>
      <w:r w:rsidR="00706AEE">
        <w:rPr>
          <w:color w:val="000000"/>
        </w:rPr>
        <w:t xml:space="preserve"> and you. </w:t>
      </w:r>
    </w:p>
    <w:p w14:paraId="2DB9A059" w14:textId="77777777" w:rsidR="008A3FD8" w:rsidRDefault="008A3FD8" w:rsidP="004A34D0">
      <w:pPr>
        <w:pBdr>
          <w:top w:val="nil"/>
          <w:left w:val="nil"/>
          <w:bottom w:val="nil"/>
          <w:right w:val="nil"/>
          <w:between w:val="nil"/>
        </w:pBdr>
        <w:ind w:firstLine="720"/>
        <w:rPr>
          <w:color w:val="000000"/>
        </w:rPr>
      </w:pPr>
    </w:p>
    <w:p w14:paraId="496D4186" w14:textId="5DD1C673" w:rsidR="004A34D0" w:rsidRDefault="00706AEE" w:rsidP="004A34D0">
      <w:pPr>
        <w:pBdr>
          <w:top w:val="nil"/>
          <w:left w:val="nil"/>
          <w:bottom w:val="nil"/>
          <w:right w:val="nil"/>
          <w:between w:val="nil"/>
        </w:pBdr>
        <w:ind w:firstLine="720"/>
        <w:rPr>
          <w:color w:val="000000"/>
        </w:rPr>
      </w:pPr>
      <w:r>
        <w:rPr>
          <w:color w:val="000000"/>
        </w:rPr>
        <w:t>Please note that if you elect to participate as</w:t>
      </w:r>
      <w:r w:rsidR="00881223">
        <w:rPr>
          <w:color w:val="000000"/>
        </w:rPr>
        <w:t xml:space="preserve"> a </w:t>
      </w:r>
      <w:r w:rsidR="002622D7">
        <w:rPr>
          <w:color w:val="000000"/>
        </w:rPr>
        <w:t>network CBO</w:t>
      </w:r>
      <w:r>
        <w:rPr>
          <w:color w:val="000000"/>
        </w:rPr>
        <w:t xml:space="preserve"> within </w:t>
      </w:r>
      <w:r w:rsidR="00B4367C">
        <w:rPr>
          <w:color w:val="000000"/>
        </w:rPr>
        <w:t>Brightpoint Care</w:t>
      </w:r>
      <w:r>
        <w:rPr>
          <w:color w:val="000000"/>
        </w:rPr>
        <w:t>’s SCN</w:t>
      </w:r>
      <w:r w:rsidR="003A1402">
        <w:rPr>
          <w:color w:val="000000"/>
        </w:rPr>
        <w:t xml:space="preserve">, </w:t>
      </w:r>
      <w:r w:rsidR="00DD11F0">
        <w:rPr>
          <w:color w:val="000000"/>
        </w:rPr>
        <w:t>DOH</w:t>
      </w:r>
      <w:r w:rsidR="003A1402">
        <w:rPr>
          <w:color w:val="000000"/>
        </w:rPr>
        <w:t xml:space="preserve"> has the right </w:t>
      </w:r>
      <w:r w:rsidR="00881223">
        <w:rPr>
          <w:color w:val="000000"/>
        </w:rPr>
        <w:t>to ask you certain program integrity</w:t>
      </w:r>
      <w:r w:rsidR="003A1402">
        <w:rPr>
          <w:color w:val="000000"/>
        </w:rPr>
        <w:t xml:space="preserve"> questions regarding your services, including confirm</w:t>
      </w:r>
      <w:r w:rsidR="00AF1BC8">
        <w:rPr>
          <w:color w:val="000000"/>
        </w:rPr>
        <w:t>ing your satisfaction of its CBO network participation requirements</w:t>
      </w:r>
      <w:r w:rsidR="004A34D0">
        <w:rPr>
          <w:color w:val="000000"/>
        </w:rPr>
        <w:t>. According to the DOH requirements, each CBO in the SCN’s network must:</w:t>
      </w:r>
    </w:p>
    <w:p w14:paraId="4ADD29EB" w14:textId="77777777" w:rsidR="00206F85" w:rsidRDefault="00206F85" w:rsidP="004A34D0">
      <w:pPr>
        <w:pBdr>
          <w:top w:val="nil"/>
          <w:left w:val="nil"/>
          <w:bottom w:val="nil"/>
          <w:right w:val="nil"/>
          <w:between w:val="nil"/>
        </w:pBdr>
        <w:ind w:firstLine="720"/>
        <w:rPr>
          <w:color w:val="000000"/>
        </w:rPr>
      </w:pPr>
    </w:p>
    <w:p w14:paraId="6238A0A3" w14:textId="219DEB5A" w:rsidR="004A34D0" w:rsidRDefault="004A34D0" w:rsidP="00E800EB">
      <w:pPr>
        <w:pStyle w:val="ListParagraph"/>
        <w:numPr>
          <w:ilvl w:val="0"/>
          <w:numId w:val="2"/>
        </w:numPr>
        <w:pBdr>
          <w:top w:val="nil"/>
          <w:left w:val="nil"/>
          <w:bottom w:val="nil"/>
          <w:right w:val="nil"/>
          <w:between w:val="nil"/>
        </w:pBdr>
        <w:snapToGrid w:val="0"/>
        <w:spacing w:after="120"/>
        <w:contextualSpacing w:val="0"/>
        <w:rPr>
          <w:color w:val="000000"/>
        </w:rPr>
      </w:pPr>
      <w:r>
        <w:rPr>
          <w:color w:val="000000"/>
        </w:rPr>
        <w:t xml:space="preserve">Provide at least navigation </w:t>
      </w:r>
      <w:r w:rsidR="00C92A1A">
        <w:rPr>
          <w:color w:val="000000"/>
        </w:rPr>
        <w:t>of</w:t>
      </w:r>
      <w:r w:rsidR="00255C66">
        <w:rPr>
          <w:color w:val="000000"/>
        </w:rPr>
        <w:t>,</w:t>
      </w:r>
      <w:r w:rsidR="00C92A1A">
        <w:rPr>
          <w:color w:val="000000"/>
        </w:rPr>
        <w:t xml:space="preserve"> </w:t>
      </w:r>
      <w:r>
        <w:rPr>
          <w:color w:val="000000"/>
        </w:rPr>
        <w:t>or one of the Enhanced</w:t>
      </w:r>
      <w:r w:rsidR="006E3026">
        <w:rPr>
          <w:color w:val="000000"/>
        </w:rPr>
        <w:t xml:space="preserve"> Health Related Social Need</w:t>
      </w:r>
      <w:r>
        <w:rPr>
          <w:color w:val="000000"/>
        </w:rPr>
        <w:t xml:space="preserve"> </w:t>
      </w:r>
      <w:r w:rsidR="006E3026">
        <w:rPr>
          <w:color w:val="000000"/>
        </w:rPr>
        <w:t>(“</w:t>
      </w:r>
      <w:r w:rsidRPr="006E3026">
        <w:rPr>
          <w:b/>
          <w:bCs/>
          <w:i/>
          <w:iCs/>
          <w:color w:val="000000"/>
        </w:rPr>
        <w:t>HRSN</w:t>
      </w:r>
      <w:r w:rsidR="006E3026">
        <w:rPr>
          <w:color w:val="000000"/>
        </w:rPr>
        <w:t>”)</w:t>
      </w:r>
      <w:r>
        <w:rPr>
          <w:color w:val="000000"/>
        </w:rPr>
        <w:t xml:space="preserve"> Services</w:t>
      </w:r>
      <w:r w:rsidR="00255C66">
        <w:rPr>
          <w:color w:val="000000"/>
        </w:rPr>
        <w:t xml:space="preserve"> (which are listed in </w:t>
      </w:r>
      <w:r w:rsidR="00255C66">
        <w:rPr>
          <w:color w:val="000000"/>
          <w:u w:val="single"/>
        </w:rPr>
        <w:t>Exhibit A</w:t>
      </w:r>
      <w:proofErr w:type="gramStart"/>
      <w:r w:rsidR="00255C66">
        <w:rPr>
          <w:color w:val="000000"/>
        </w:rPr>
        <w:t>)</w:t>
      </w:r>
      <w:r>
        <w:rPr>
          <w:color w:val="000000"/>
        </w:rPr>
        <w:t>;</w:t>
      </w:r>
      <w:proofErr w:type="gramEnd"/>
    </w:p>
    <w:p w14:paraId="30750367" w14:textId="6E4803EF" w:rsidR="00E800EB" w:rsidRPr="00E800EB" w:rsidRDefault="004A34D0" w:rsidP="00E800EB">
      <w:pPr>
        <w:pStyle w:val="ListParagraph"/>
        <w:numPr>
          <w:ilvl w:val="0"/>
          <w:numId w:val="2"/>
        </w:numPr>
        <w:pBdr>
          <w:top w:val="nil"/>
          <w:left w:val="nil"/>
          <w:bottom w:val="nil"/>
          <w:right w:val="nil"/>
          <w:between w:val="nil"/>
        </w:pBdr>
        <w:snapToGrid w:val="0"/>
        <w:spacing w:after="120"/>
        <w:contextualSpacing w:val="0"/>
        <w:rPr>
          <w:color w:val="000000"/>
        </w:rPr>
      </w:pPr>
      <w:r>
        <w:rPr>
          <w:color w:val="000000"/>
        </w:rPr>
        <w:t xml:space="preserve">Maintain a coverage area that includes zip codes within the SCN </w:t>
      </w:r>
      <w:proofErr w:type="gramStart"/>
      <w:r w:rsidR="00E800EB">
        <w:rPr>
          <w:color w:val="000000"/>
        </w:rPr>
        <w:t>R</w:t>
      </w:r>
      <w:r>
        <w:rPr>
          <w:color w:val="000000"/>
        </w:rPr>
        <w:t>egion;</w:t>
      </w:r>
      <w:proofErr w:type="gramEnd"/>
    </w:p>
    <w:p w14:paraId="0B8619D1" w14:textId="567FA45C" w:rsidR="004A34D0" w:rsidRDefault="004A34D0" w:rsidP="00E800EB">
      <w:pPr>
        <w:pStyle w:val="ListParagraph"/>
        <w:numPr>
          <w:ilvl w:val="0"/>
          <w:numId w:val="2"/>
        </w:numPr>
        <w:pBdr>
          <w:top w:val="nil"/>
          <w:left w:val="nil"/>
          <w:bottom w:val="nil"/>
          <w:right w:val="nil"/>
          <w:between w:val="nil"/>
        </w:pBdr>
        <w:snapToGrid w:val="0"/>
        <w:spacing w:after="120"/>
        <w:contextualSpacing w:val="0"/>
        <w:rPr>
          <w:color w:val="000000"/>
        </w:rPr>
      </w:pPr>
      <w:r>
        <w:rPr>
          <w:color w:val="000000"/>
        </w:rPr>
        <w:t xml:space="preserve">Hold not-for-profit status upon initial addition into the SCN, as validated by the CBO with an active EIN, or provide a social service that has received DOH approval (if CBO </w:t>
      </w:r>
      <w:r w:rsidR="008A3FD8">
        <w:rPr>
          <w:color w:val="000000"/>
        </w:rPr>
        <w:t>is a for-profit entity)</w:t>
      </w:r>
      <w:r>
        <w:rPr>
          <w:color w:val="000000"/>
        </w:rPr>
        <w:t>. For</w:t>
      </w:r>
      <w:r w:rsidR="00516650">
        <w:rPr>
          <w:color w:val="000000"/>
        </w:rPr>
        <w:t>-</w:t>
      </w:r>
      <w:r>
        <w:rPr>
          <w:color w:val="000000"/>
        </w:rPr>
        <w:t>profit entities will only be considered when there is not a non-profit that can cover the service for part of the region (i.e., accessibility modifications to someone’s home</w:t>
      </w:r>
      <w:proofErr w:type="gramStart"/>
      <w:r>
        <w:rPr>
          <w:color w:val="000000"/>
        </w:rPr>
        <w:t>);</w:t>
      </w:r>
      <w:proofErr w:type="gramEnd"/>
    </w:p>
    <w:p w14:paraId="71B2A7B0" w14:textId="146CCCBC" w:rsidR="004A34D0" w:rsidRDefault="004A34D0" w:rsidP="00E800EB">
      <w:pPr>
        <w:pStyle w:val="ListParagraph"/>
        <w:numPr>
          <w:ilvl w:val="0"/>
          <w:numId w:val="2"/>
        </w:numPr>
        <w:pBdr>
          <w:top w:val="nil"/>
          <w:left w:val="nil"/>
          <w:bottom w:val="nil"/>
          <w:right w:val="nil"/>
          <w:between w:val="nil"/>
        </w:pBdr>
        <w:snapToGrid w:val="0"/>
        <w:spacing w:after="120"/>
        <w:contextualSpacing w:val="0"/>
        <w:rPr>
          <w:color w:val="000000"/>
        </w:rPr>
      </w:pPr>
      <w:r>
        <w:rPr>
          <w:color w:val="000000"/>
        </w:rPr>
        <w:t xml:space="preserve">Designate contact(s) in their organization to engage </w:t>
      </w:r>
      <w:r w:rsidR="00880438">
        <w:rPr>
          <w:color w:val="000000"/>
        </w:rPr>
        <w:t xml:space="preserve">with </w:t>
      </w:r>
      <w:r>
        <w:rPr>
          <w:color w:val="000000"/>
        </w:rPr>
        <w:t xml:space="preserve">and be trained on the SCN data and IT platform and validate the accuracy of CBO information on routine </w:t>
      </w:r>
      <w:proofErr w:type="gramStart"/>
      <w:r>
        <w:rPr>
          <w:color w:val="000000"/>
        </w:rPr>
        <w:t>intervals;</w:t>
      </w:r>
      <w:proofErr w:type="gramEnd"/>
    </w:p>
    <w:p w14:paraId="15838B86" w14:textId="309E32AF" w:rsidR="004A34D0" w:rsidRDefault="004A34D0" w:rsidP="00E800EB">
      <w:pPr>
        <w:pStyle w:val="ListParagraph"/>
        <w:numPr>
          <w:ilvl w:val="0"/>
          <w:numId w:val="2"/>
        </w:numPr>
        <w:pBdr>
          <w:top w:val="nil"/>
          <w:left w:val="nil"/>
          <w:bottom w:val="nil"/>
          <w:right w:val="nil"/>
          <w:between w:val="nil"/>
        </w:pBdr>
        <w:snapToGrid w:val="0"/>
        <w:spacing w:after="120"/>
        <w:contextualSpacing w:val="0"/>
        <w:rPr>
          <w:color w:val="000000"/>
        </w:rPr>
      </w:pPr>
      <w:r>
        <w:rPr>
          <w:color w:val="000000"/>
        </w:rPr>
        <w:lastRenderedPageBreak/>
        <w:t xml:space="preserve">Demonstrate </w:t>
      </w:r>
      <w:r w:rsidR="008A3FD8">
        <w:rPr>
          <w:color w:val="000000"/>
        </w:rPr>
        <w:t xml:space="preserve">cultural and linguistic </w:t>
      </w:r>
      <w:proofErr w:type="gramStart"/>
      <w:r w:rsidR="008A3FD8">
        <w:rPr>
          <w:color w:val="000000"/>
        </w:rPr>
        <w:t>competency;</w:t>
      </w:r>
      <w:proofErr w:type="gramEnd"/>
    </w:p>
    <w:p w14:paraId="482F05C2" w14:textId="2D6CD1D1" w:rsidR="008A3FD8" w:rsidRDefault="008A3FD8" w:rsidP="00E800EB">
      <w:pPr>
        <w:pStyle w:val="ListParagraph"/>
        <w:numPr>
          <w:ilvl w:val="0"/>
          <w:numId w:val="2"/>
        </w:numPr>
        <w:pBdr>
          <w:top w:val="nil"/>
          <w:left w:val="nil"/>
          <w:bottom w:val="nil"/>
          <w:right w:val="nil"/>
          <w:between w:val="nil"/>
        </w:pBdr>
        <w:snapToGrid w:val="0"/>
        <w:spacing w:after="120"/>
        <w:contextualSpacing w:val="0"/>
        <w:rPr>
          <w:color w:val="000000"/>
        </w:rPr>
      </w:pPr>
      <w:r>
        <w:rPr>
          <w:color w:val="000000"/>
        </w:rPr>
        <w:t>Commit to accepting referrals and providing services and collaborating with the SCN and other stakeholders to coordinate the delivery of HRSN services; and</w:t>
      </w:r>
    </w:p>
    <w:p w14:paraId="180A4174" w14:textId="22A25EA0" w:rsidR="008A3FD8" w:rsidRPr="004A34D0" w:rsidRDefault="008A3FD8" w:rsidP="004A34D0">
      <w:pPr>
        <w:pStyle w:val="ListParagraph"/>
        <w:numPr>
          <w:ilvl w:val="0"/>
          <w:numId w:val="2"/>
        </w:numPr>
        <w:pBdr>
          <w:top w:val="nil"/>
          <w:left w:val="nil"/>
          <w:bottom w:val="nil"/>
          <w:right w:val="nil"/>
          <w:between w:val="nil"/>
        </w:pBdr>
        <w:rPr>
          <w:color w:val="000000"/>
        </w:rPr>
      </w:pPr>
      <w:r>
        <w:rPr>
          <w:color w:val="000000"/>
        </w:rPr>
        <w:t>Be able to assess or project potential capacity constraints and estimate need (if any) for capacity building funding from the SCN.</w:t>
      </w:r>
      <w:r>
        <w:rPr>
          <w:rStyle w:val="FootnoteReference"/>
          <w:color w:val="000000"/>
        </w:rPr>
        <w:footnoteReference w:id="1"/>
      </w:r>
    </w:p>
    <w:p w14:paraId="54858D5F" w14:textId="77777777" w:rsidR="00F53014" w:rsidRDefault="00F53014">
      <w:pPr>
        <w:pBdr>
          <w:top w:val="nil"/>
          <w:left w:val="nil"/>
          <w:bottom w:val="nil"/>
          <w:right w:val="nil"/>
          <w:between w:val="nil"/>
        </w:pBdr>
        <w:ind w:firstLine="720"/>
        <w:rPr>
          <w:color w:val="000000"/>
        </w:rPr>
      </w:pPr>
    </w:p>
    <w:p w14:paraId="228D5E6A" w14:textId="1E25455E" w:rsidR="00F53014" w:rsidRDefault="003A1402">
      <w:pPr>
        <w:pBdr>
          <w:top w:val="nil"/>
          <w:left w:val="nil"/>
          <w:bottom w:val="nil"/>
          <w:right w:val="nil"/>
          <w:between w:val="nil"/>
        </w:pBdr>
        <w:ind w:firstLine="720"/>
        <w:rPr>
          <w:color w:val="000000"/>
        </w:rPr>
      </w:pPr>
      <w:r>
        <w:rPr>
          <w:color w:val="000000"/>
        </w:rPr>
        <w:t>If our application is accepted by</w:t>
      </w:r>
      <w:r w:rsidR="00A165E1">
        <w:rPr>
          <w:color w:val="000000"/>
        </w:rPr>
        <w:t xml:space="preserve"> DOH</w:t>
      </w:r>
      <w:r>
        <w:rPr>
          <w:color w:val="000000"/>
        </w:rPr>
        <w:t xml:space="preserve">, </w:t>
      </w:r>
      <w:r w:rsidR="00B4367C">
        <w:rPr>
          <w:color w:val="000000"/>
        </w:rPr>
        <w:t>Brightpoint Care</w:t>
      </w:r>
      <w:r>
        <w:rPr>
          <w:color w:val="000000"/>
        </w:rPr>
        <w:t xml:space="preserve"> will be asked to enter into an agreement with </w:t>
      </w:r>
      <w:r w:rsidR="00A165E1">
        <w:rPr>
          <w:color w:val="000000"/>
        </w:rPr>
        <w:t>DOH</w:t>
      </w:r>
      <w:r>
        <w:rPr>
          <w:color w:val="000000"/>
        </w:rPr>
        <w:t xml:space="preserve"> governing the terms of the pr</w:t>
      </w:r>
      <w:r w:rsidRPr="00255C66">
        <w:rPr>
          <w:color w:val="000000"/>
        </w:rPr>
        <w:t>ogram, and you will be asked to enter into a similar agreement (called a “</w:t>
      </w:r>
      <w:r w:rsidRPr="00255C66">
        <w:rPr>
          <w:b/>
          <w:i/>
          <w:color w:val="000000"/>
        </w:rPr>
        <w:t>Participation Agreement</w:t>
      </w:r>
      <w:r w:rsidRPr="00255C66">
        <w:rPr>
          <w:color w:val="000000"/>
        </w:rPr>
        <w:t xml:space="preserve">”) with </w:t>
      </w:r>
      <w:r w:rsidR="00B4367C">
        <w:rPr>
          <w:color w:val="000000"/>
        </w:rPr>
        <w:t>Brightpoint Care</w:t>
      </w:r>
      <w:r w:rsidRPr="00255C66">
        <w:rPr>
          <w:color w:val="000000"/>
        </w:rPr>
        <w:t xml:space="preserve"> that will describe in more detail your role and responsibilities under the </w:t>
      </w:r>
      <w:r w:rsidR="00A165E1" w:rsidRPr="00255C66">
        <w:rPr>
          <w:color w:val="000000"/>
        </w:rPr>
        <w:t>SCN Waiver</w:t>
      </w:r>
      <w:r w:rsidR="00F319A1" w:rsidRPr="00255C66">
        <w:rPr>
          <w:color w:val="000000"/>
        </w:rPr>
        <w:t xml:space="preserve"> </w:t>
      </w:r>
      <w:r w:rsidR="00803C2B" w:rsidRPr="00255C66">
        <w:rPr>
          <w:color w:val="000000"/>
        </w:rPr>
        <w:t xml:space="preserve">as a </w:t>
      </w:r>
      <w:r w:rsidR="002622D7" w:rsidRPr="00255C66">
        <w:rPr>
          <w:color w:val="000000"/>
        </w:rPr>
        <w:t>network CBO</w:t>
      </w:r>
      <w:r w:rsidRPr="00255C66">
        <w:rPr>
          <w:color w:val="000000"/>
        </w:rPr>
        <w:t>. The</w:t>
      </w:r>
      <w:r w:rsidRPr="00AF1BC8">
        <w:rPr>
          <w:color w:val="000000"/>
        </w:rPr>
        <w:t xml:space="preserve"> Participation Agreement will set forth, among other things, the </w:t>
      </w:r>
      <w:r w:rsidR="00AF1BC8" w:rsidRPr="00AF1BC8">
        <w:rPr>
          <w:color w:val="000000"/>
        </w:rPr>
        <w:t>infrastructure funding</w:t>
      </w:r>
      <w:r w:rsidRPr="00AF1BC8">
        <w:rPr>
          <w:color w:val="000000"/>
        </w:rPr>
        <w:t xml:space="preserve"> arrangement with </w:t>
      </w:r>
      <w:r w:rsidR="00B4367C">
        <w:rPr>
          <w:color w:val="000000"/>
        </w:rPr>
        <w:t>Brightpoint Care</w:t>
      </w:r>
      <w:r w:rsidR="00EA1D76">
        <w:rPr>
          <w:color w:val="000000"/>
        </w:rPr>
        <w:t>, if applicable</w:t>
      </w:r>
      <w:r>
        <w:rPr>
          <w:color w:val="000000"/>
        </w:rPr>
        <w:t>.</w:t>
      </w:r>
      <w:r w:rsidR="004206DA">
        <w:rPr>
          <w:color w:val="000000"/>
        </w:rPr>
        <w:t xml:space="preserve"> </w:t>
      </w:r>
      <w:r w:rsidR="00AF1BC8">
        <w:rPr>
          <w:color w:val="000000"/>
        </w:rPr>
        <w:t>The Participation Agreement will also validate the requirements for network CBOs.</w:t>
      </w:r>
      <w:r w:rsidR="00125C81">
        <w:rPr>
          <w:color w:val="000000"/>
        </w:rPr>
        <w:t xml:space="preserve"> We will notify you and provide you a copy with the Participation Agreement should </w:t>
      </w:r>
      <w:r w:rsidR="00B4367C">
        <w:rPr>
          <w:color w:val="000000"/>
        </w:rPr>
        <w:t>Brightpoint Care</w:t>
      </w:r>
      <w:r w:rsidR="00125C81">
        <w:rPr>
          <w:color w:val="000000"/>
        </w:rPr>
        <w:t xml:space="preserve"> be awarded lead SCN</w:t>
      </w:r>
      <w:r w:rsidR="003926FF">
        <w:rPr>
          <w:color w:val="000000"/>
        </w:rPr>
        <w:t xml:space="preserve">. </w:t>
      </w:r>
      <w:r w:rsidR="00125C81">
        <w:rPr>
          <w:color w:val="000000"/>
        </w:rPr>
        <w:t xml:space="preserve">Whether you elect to participate in </w:t>
      </w:r>
      <w:r w:rsidR="00B4367C">
        <w:rPr>
          <w:color w:val="000000"/>
        </w:rPr>
        <w:t>Brightpoint Care</w:t>
      </w:r>
      <w:r w:rsidR="00125C81">
        <w:rPr>
          <w:color w:val="000000"/>
        </w:rPr>
        <w:t>’s SCN should the opportunity be available to you is in your sole discretion.</w:t>
      </w:r>
      <w:r>
        <w:rPr>
          <w:color w:val="000000"/>
        </w:rPr>
        <w:t xml:space="preserve"> </w:t>
      </w:r>
    </w:p>
    <w:p w14:paraId="1F07111E" w14:textId="77777777" w:rsidR="00F53014" w:rsidRDefault="00F53014" w:rsidP="00A165E1">
      <w:pPr>
        <w:pBdr>
          <w:top w:val="nil"/>
          <w:left w:val="nil"/>
          <w:bottom w:val="nil"/>
          <w:right w:val="nil"/>
          <w:between w:val="nil"/>
        </w:pBdr>
        <w:rPr>
          <w:color w:val="000000"/>
        </w:rPr>
      </w:pPr>
      <w:bookmarkStart w:id="0" w:name="_heading=h.gjdgxs" w:colFirst="0" w:colLast="0"/>
      <w:bookmarkEnd w:id="0"/>
    </w:p>
    <w:p w14:paraId="179C5BCE" w14:textId="178E01F0" w:rsidR="00A165E1" w:rsidRDefault="000164AC" w:rsidP="00E800EB">
      <w:pPr>
        <w:pBdr>
          <w:top w:val="nil"/>
          <w:left w:val="nil"/>
          <w:bottom w:val="nil"/>
          <w:right w:val="nil"/>
          <w:between w:val="nil"/>
        </w:pBdr>
        <w:spacing w:after="240"/>
        <w:ind w:firstLine="720"/>
        <w:rPr>
          <w:color w:val="000000"/>
        </w:rPr>
      </w:pPr>
      <w:r>
        <w:rPr>
          <w:color w:val="000000"/>
        </w:rPr>
        <w:t xml:space="preserve">We appreciate your interest in participating in </w:t>
      </w:r>
      <w:r w:rsidR="00B4367C">
        <w:rPr>
          <w:color w:val="000000"/>
        </w:rPr>
        <w:t>Brightpoint Care</w:t>
      </w:r>
      <w:r>
        <w:rPr>
          <w:color w:val="000000"/>
        </w:rPr>
        <w:t>’s SCN and look forward to continuing to partner with you to improve the health of New York’s most vulnerable residents</w:t>
      </w:r>
      <w:r w:rsidR="003926FF">
        <w:rPr>
          <w:color w:val="000000"/>
        </w:rPr>
        <w:t xml:space="preserve">. </w:t>
      </w:r>
      <w:r w:rsidR="003A1402">
        <w:rPr>
          <w:color w:val="000000"/>
        </w:rPr>
        <w:t xml:space="preserve">Please sign and date this </w:t>
      </w:r>
      <w:r w:rsidR="00D34E65">
        <w:rPr>
          <w:color w:val="000000"/>
        </w:rPr>
        <w:t>LOI</w:t>
      </w:r>
      <w:r w:rsidR="003A1402">
        <w:rPr>
          <w:color w:val="000000"/>
        </w:rPr>
        <w:t xml:space="preserve"> in the space provided below to confirm the </w:t>
      </w:r>
      <w:r>
        <w:rPr>
          <w:color w:val="000000"/>
        </w:rPr>
        <w:t xml:space="preserve">non-binding </w:t>
      </w:r>
      <w:r w:rsidR="003A1402">
        <w:rPr>
          <w:color w:val="000000"/>
        </w:rPr>
        <w:t xml:space="preserve">mutual understandings and agreements set forth in this </w:t>
      </w:r>
      <w:r w:rsidR="00D34E65">
        <w:rPr>
          <w:color w:val="000000"/>
        </w:rPr>
        <w:t>LOI</w:t>
      </w:r>
      <w:r w:rsidR="003926FF">
        <w:rPr>
          <w:color w:val="000000"/>
        </w:rPr>
        <w:t xml:space="preserve">. </w:t>
      </w:r>
    </w:p>
    <w:p w14:paraId="157F1F20" w14:textId="79B89241" w:rsidR="00F53014" w:rsidRDefault="000D0D30">
      <w:pPr>
        <w:tabs>
          <w:tab w:val="right" w:pos="9360"/>
        </w:tabs>
        <w:spacing w:after="240"/>
        <w:ind w:left="5040"/>
      </w:pPr>
      <w:r>
        <w:rPr>
          <w:noProof/>
          <w:color w:val="000000"/>
        </w:rPr>
        <w:drawing>
          <wp:anchor distT="0" distB="0" distL="114300" distR="114300" simplePos="0" relativeHeight="251658240" behindDoc="1" locked="0" layoutInCell="1" allowOverlap="1" wp14:anchorId="301C4765" wp14:editId="51BAB156">
            <wp:simplePos x="0" y="0"/>
            <wp:positionH relativeFrom="column">
              <wp:posOffset>3000375</wp:posOffset>
            </wp:positionH>
            <wp:positionV relativeFrom="paragraph">
              <wp:posOffset>198879</wp:posOffset>
            </wp:positionV>
            <wp:extent cx="1400175" cy="601856"/>
            <wp:effectExtent l="0" t="0" r="0" b="8255"/>
            <wp:wrapNone/>
            <wp:docPr id="833070890"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070890" name="Picture 1" descr="A close-up of a signatur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1077" cy="606542"/>
                    </a:xfrm>
                    <a:prstGeom prst="rect">
                      <a:avLst/>
                    </a:prstGeom>
                  </pic:spPr>
                </pic:pic>
              </a:graphicData>
            </a:graphic>
            <wp14:sizeRelH relativeFrom="margin">
              <wp14:pctWidth>0</wp14:pctWidth>
            </wp14:sizeRelH>
            <wp14:sizeRelV relativeFrom="margin">
              <wp14:pctHeight>0</wp14:pctHeight>
            </wp14:sizeRelV>
          </wp:anchor>
        </w:drawing>
      </w:r>
      <w:r w:rsidR="003A1402">
        <w:t>Very truly yours,</w:t>
      </w:r>
    </w:p>
    <w:p w14:paraId="3CD2D99D" w14:textId="58098DAA" w:rsidR="00E800EB" w:rsidRDefault="00E800EB">
      <w:pPr>
        <w:pBdr>
          <w:top w:val="nil"/>
          <w:left w:val="nil"/>
          <w:bottom w:val="nil"/>
          <w:right w:val="nil"/>
          <w:between w:val="nil"/>
        </w:pBdr>
        <w:tabs>
          <w:tab w:val="right" w:pos="9360"/>
        </w:tabs>
        <w:spacing w:after="240"/>
        <w:ind w:left="5040"/>
      </w:pPr>
    </w:p>
    <w:p w14:paraId="48D9D249" w14:textId="0F7A3739" w:rsidR="00F53014" w:rsidRDefault="000D0D30" w:rsidP="000D0D30">
      <w:pPr>
        <w:pBdr>
          <w:top w:val="nil"/>
          <w:left w:val="nil"/>
          <w:bottom w:val="nil"/>
          <w:right w:val="nil"/>
          <w:between w:val="nil"/>
        </w:pBdr>
        <w:tabs>
          <w:tab w:val="right" w:pos="9360"/>
        </w:tabs>
        <w:ind w:left="5040"/>
      </w:pPr>
      <w:r>
        <w:t>Meghann Hardesty</w:t>
      </w:r>
    </w:p>
    <w:p w14:paraId="03AC5075" w14:textId="36DC741A" w:rsidR="000D0D30" w:rsidRDefault="000D0D30" w:rsidP="000D0D30">
      <w:pPr>
        <w:pBdr>
          <w:top w:val="nil"/>
          <w:left w:val="nil"/>
          <w:bottom w:val="nil"/>
          <w:right w:val="nil"/>
          <w:between w:val="nil"/>
        </w:pBdr>
        <w:tabs>
          <w:tab w:val="right" w:pos="9360"/>
        </w:tabs>
        <w:ind w:left="5040"/>
        <w:rPr>
          <w:color w:val="000000"/>
        </w:rPr>
      </w:pPr>
      <w:r>
        <w:rPr>
          <w:color w:val="000000"/>
        </w:rPr>
        <w:t>Network Development</w:t>
      </w:r>
    </w:p>
    <w:p w14:paraId="4E113E44" w14:textId="5796DD75" w:rsidR="000D0D30" w:rsidRDefault="000D0D30" w:rsidP="000D0D30">
      <w:pPr>
        <w:pBdr>
          <w:top w:val="nil"/>
          <w:left w:val="nil"/>
          <w:bottom w:val="nil"/>
          <w:right w:val="nil"/>
          <w:between w:val="nil"/>
        </w:pBdr>
        <w:tabs>
          <w:tab w:val="right" w:pos="9360"/>
        </w:tabs>
        <w:ind w:left="5040"/>
        <w:rPr>
          <w:color w:val="000000"/>
        </w:rPr>
      </w:pPr>
      <w:r>
        <w:rPr>
          <w:color w:val="000000"/>
        </w:rPr>
        <w:t>Brightpoint Care Social Care Network</w:t>
      </w:r>
    </w:p>
    <w:p w14:paraId="063A7304" w14:textId="77777777" w:rsidR="000D0D30" w:rsidRDefault="000D0D30" w:rsidP="000D0D30">
      <w:pPr>
        <w:pBdr>
          <w:top w:val="nil"/>
          <w:left w:val="nil"/>
          <w:bottom w:val="nil"/>
          <w:right w:val="nil"/>
          <w:between w:val="nil"/>
        </w:pBdr>
        <w:tabs>
          <w:tab w:val="right" w:pos="9360"/>
        </w:tabs>
        <w:ind w:left="5040"/>
        <w:rPr>
          <w:color w:val="000000"/>
        </w:rPr>
      </w:pPr>
    </w:p>
    <w:p w14:paraId="41E44E71" w14:textId="77777777" w:rsidR="000D0D30" w:rsidRDefault="000D0D30" w:rsidP="000D0D30">
      <w:pPr>
        <w:pBdr>
          <w:top w:val="nil"/>
          <w:left w:val="nil"/>
          <w:bottom w:val="nil"/>
          <w:right w:val="nil"/>
          <w:between w:val="nil"/>
        </w:pBdr>
        <w:tabs>
          <w:tab w:val="right" w:pos="9360"/>
        </w:tabs>
        <w:ind w:left="5040"/>
        <w:rPr>
          <w:color w:val="000000"/>
        </w:rPr>
      </w:pPr>
    </w:p>
    <w:tbl>
      <w:tblPr>
        <w:tblStyle w:val="a9"/>
        <w:tblW w:w="9345" w:type="dxa"/>
        <w:tblInd w:w="-42" w:type="dxa"/>
        <w:tblLayout w:type="fixed"/>
        <w:tblLook w:val="0400" w:firstRow="0" w:lastRow="0" w:firstColumn="0" w:lastColumn="0" w:noHBand="0" w:noVBand="1"/>
      </w:tblPr>
      <w:tblGrid>
        <w:gridCol w:w="3870"/>
        <w:gridCol w:w="795"/>
        <w:gridCol w:w="4680"/>
      </w:tblGrid>
      <w:tr w:rsidR="00F53014" w14:paraId="0F29F3A1" w14:textId="77777777">
        <w:trPr>
          <w:trHeight w:val="314"/>
        </w:trPr>
        <w:tc>
          <w:tcPr>
            <w:tcW w:w="3870" w:type="dxa"/>
            <w:tcMar>
              <w:top w:w="57" w:type="dxa"/>
              <w:left w:w="57" w:type="dxa"/>
              <w:bottom w:w="57" w:type="dxa"/>
              <w:right w:w="57" w:type="dxa"/>
            </w:tcMar>
          </w:tcPr>
          <w:p w14:paraId="6765152E" w14:textId="0064D217" w:rsidR="00F53014" w:rsidRDefault="000D0D30">
            <w:pPr>
              <w:pBdr>
                <w:top w:val="nil"/>
                <w:left w:val="nil"/>
                <w:bottom w:val="nil"/>
                <w:right w:val="nil"/>
                <w:between w:val="nil"/>
              </w:pBdr>
              <w:tabs>
                <w:tab w:val="right" w:pos="5040"/>
              </w:tabs>
              <w:spacing w:after="80"/>
              <w:rPr>
                <w:color w:val="000000"/>
                <w:highlight w:val="yellow"/>
              </w:rPr>
            </w:pPr>
            <w:r>
              <w:rPr>
                <w:color w:val="000000"/>
                <w:highlight w:val="yellow"/>
              </w:rPr>
              <w:t>Name of Organization</w:t>
            </w:r>
            <w:r w:rsidR="003A1402">
              <w:rPr>
                <w:color w:val="000000"/>
                <w:highlight w:val="yellow"/>
              </w:rPr>
              <w:t>:</w:t>
            </w:r>
          </w:p>
        </w:tc>
        <w:tc>
          <w:tcPr>
            <w:tcW w:w="795" w:type="dxa"/>
          </w:tcPr>
          <w:p w14:paraId="2BEA7DAC" w14:textId="77777777" w:rsidR="00F53014" w:rsidRDefault="00F53014">
            <w:pPr>
              <w:pBdr>
                <w:top w:val="nil"/>
                <w:left w:val="nil"/>
                <w:bottom w:val="nil"/>
                <w:right w:val="nil"/>
                <w:between w:val="nil"/>
              </w:pBdr>
              <w:tabs>
                <w:tab w:val="right" w:pos="5040"/>
              </w:tabs>
              <w:spacing w:after="80"/>
              <w:rPr>
                <w:color w:val="000000"/>
              </w:rPr>
            </w:pPr>
          </w:p>
        </w:tc>
        <w:tc>
          <w:tcPr>
            <w:tcW w:w="4680" w:type="dxa"/>
          </w:tcPr>
          <w:p w14:paraId="5DE401E7" w14:textId="77777777" w:rsidR="00F53014" w:rsidRDefault="003A1402">
            <w:pPr>
              <w:pBdr>
                <w:top w:val="nil"/>
                <w:left w:val="nil"/>
                <w:bottom w:val="nil"/>
                <w:right w:val="nil"/>
                <w:between w:val="nil"/>
              </w:pBdr>
              <w:tabs>
                <w:tab w:val="right" w:pos="5040"/>
              </w:tabs>
              <w:spacing w:after="80"/>
              <w:rPr>
                <w:color w:val="000000"/>
              </w:rPr>
            </w:pPr>
            <w:r>
              <w:rPr>
                <w:color w:val="000000"/>
                <w:u w:val="single"/>
              </w:rPr>
              <w:tab/>
            </w:r>
          </w:p>
        </w:tc>
      </w:tr>
      <w:tr w:rsidR="00F53014" w14:paraId="2A2FAB1C" w14:textId="77777777">
        <w:trPr>
          <w:trHeight w:val="341"/>
        </w:trPr>
        <w:tc>
          <w:tcPr>
            <w:tcW w:w="3870" w:type="dxa"/>
            <w:tcMar>
              <w:top w:w="57" w:type="dxa"/>
              <w:left w:w="57" w:type="dxa"/>
              <w:bottom w:w="57" w:type="dxa"/>
              <w:right w:w="57" w:type="dxa"/>
            </w:tcMar>
          </w:tcPr>
          <w:p w14:paraId="577432DD" w14:textId="77777777" w:rsidR="00F53014" w:rsidRDefault="003A1402">
            <w:pPr>
              <w:pBdr>
                <w:top w:val="nil"/>
                <w:left w:val="nil"/>
                <w:bottom w:val="nil"/>
                <w:right w:val="nil"/>
                <w:between w:val="nil"/>
              </w:pBdr>
              <w:tabs>
                <w:tab w:val="right" w:pos="5040"/>
              </w:tabs>
              <w:spacing w:after="80"/>
              <w:rPr>
                <w:color w:val="000000"/>
                <w:highlight w:val="yellow"/>
              </w:rPr>
            </w:pPr>
            <w:r>
              <w:rPr>
                <w:color w:val="000000"/>
                <w:highlight w:val="yellow"/>
              </w:rPr>
              <w:t>Name of Authorized Officer (print):</w:t>
            </w:r>
          </w:p>
        </w:tc>
        <w:tc>
          <w:tcPr>
            <w:tcW w:w="795" w:type="dxa"/>
          </w:tcPr>
          <w:p w14:paraId="1FD03E26" w14:textId="77777777" w:rsidR="00F53014" w:rsidRDefault="00F53014">
            <w:pPr>
              <w:pBdr>
                <w:top w:val="nil"/>
                <w:left w:val="nil"/>
                <w:bottom w:val="nil"/>
                <w:right w:val="nil"/>
                <w:between w:val="nil"/>
              </w:pBdr>
              <w:tabs>
                <w:tab w:val="right" w:pos="5040"/>
              </w:tabs>
              <w:spacing w:after="80"/>
              <w:rPr>
                <w:color w:val="000000"/>
              </w:rPr>
            </w:pPr>
          </w:p>
        </w:tc>
        <w:tc>
          <w:tcPr>
            <w:tcW w:w="4680" w:type="dxa"/>
          </w:tcPr>
          <w:p w14:paraId="12ED06EF" w14:textId="77777777" w:rsidR="00F53014" w:rsidRDefault="003A1402">
            <w:pPr>
              <w:pBdr>
                <w:top w:val="nil"/>
                <w:left w:val="nil"/>
                <w:bottom w:val="nil"/>
                <w:right w:val="nil"/>
                <w:between w:val="nil"/>
              </w:pBdr>
              <w:tabs>
                <w:tab w:val="right" w:pos="5040"/>
              </w:tabs>
              <w:spacing w:after="80"/>
              <w:rPr>
                <w:color w:val="000000"/>
                <w:u w:val="single"/>
              </w:rPr>
            </w:pPr>
            <w:r>
              <w:rPr>
                <w:color w:val="000000"/>
                <w:u w:val="single"/>
              </w:rPr>
              <w:tab/>
            </w:r>
          </w:p>
        </w:tc>
      </w:tr>
      <w:tr w:rsidR="00F53014" w14:paraId="6DD12E23" w14:textId="77777777">
        <w:trPr>
          <w:trHeight w:val="323"/>
        </w:trPr>
        <w:tc>
          <w:tcPr>
            <w:tcW w:w="3870" w:type="dxa"/>
            <w:tcMar>
              <w:top w:w="57" w:type="dxa"/>
              <w:left w:w="57" w:type="dxa"/>
              <w:bottom w:w="57" w:type="dxa"/>
              <w:right w:w="57" w:type="dxa"/>
            </w:tcMar>
          </w:tcPr>
          <w:p w14:paraId="01C41210" w14:textId="77777777" w:rsidR="00F53014" w:rsidRDefault="003A1402">
            <w:pPr>
              <w:pBdr>
                <w:top w:val="nil"/>
                <w:left w:val="nil"/>
                <w:bottom w:val="nil"/>
                <w:right w:val="nil"/>
                <w:between w:val="nil"/>
              </w:pBdr>
              <w:tabs>
                <w:tab w:val="right" w:pos="5040"/>
              </w:tabs>
              <w:spacing w:after="80"/>
              <w:rPr>
                <w:color w:val="000000"/>
                <w:highlight w:val="yellow"/>
              </w:rPr>
            </w:pPr>
            <w:r>
              <w:rPr>
                <w:color w:val="000000"/>
                <w:highlight w:val="yellow"/>
              </w:rPr>
              <w:t>Signature of Authorized Officer:</w:t>
            </w:r>
          </w:p>
        </w:tc>
        <w:tc>
          <w:tcPr>
            <w:tcW w:w="795" w:type="dxa"/>
          </w:tcPr>
          <w:p w14:paraId="59F5AED3" w14:textId="77777777" w:rsidR="00F53014" w:rsidRDefault="00F53014">
            <w:pPr>
              <w:pBdr>
                <w:top w:val="nil"/>
                <w:left w:val="nil"/>
                <w:bottom w:val="nil"/>
                <w:right w:val="nil"/>
                <w:between w:val="nil"/>
              </w:pBdr>
              <w:tabs>
                <w:tab w:val="right" w:pos="5040"/>
              </w:tabs>
              <w:spacing w:after="80"/>
              <w:rPr>
                <w:color w:val="000000"/>
              </w:rPr>
            </w:pPr>
          </w:p>
        </w:tc>
        <w:tc>
          <w:tcPr>
            <w:tcW w:w="4680" w:type="dxa"/>
          </w:tcPr>
          <w:p w14:paraId="4140CBA4" w14:textId="77777777" w:rsidR="00F53014" w:rsidRDefault="003A1402">
            <w:pPr>
              <w:pBdr>
                <w:top w:val="nil"/>
                <w:left w:val="nil"/>
                <w:bottom w:val="nil"/>
                <w:right w:val="nil"/>
                <w:between w:val="nil"/>
              </w:pBdr>
              <w:tabs>
                <w:tab w:val="right" w:pos="5040"/>
              </w:tabs>
              <w:spacing w:after="80"/>
              <w:rPr>
                <w:color w:val="000000"/>
                <w:u w:val="single"/>
              </w:rPr>
            </w:pPr>
            <w:r>
              <w:rPr>
                <w:color w:val="000000"/>
                <w:u w:val="single"/>
              </w:rPr>
              <w:tab/>
            </w:r>
          </w:p>
        </w:tc>
      </w:tr>
      <w:tr w:rsidR="00F53014" w14:paraId="4292626E" w14:textId="77777777">
        <w:trPr>
          <w:trHeight w:val="116"/>
        </w:trPr>
        <w:tc>
          <w:tcPr>
            <w:tcW w:w="3870" w:type="dxa"/>
            <w:tcMar>
              <w:top w:w="57" w:type="dxa"/>
              <w:left w:w="57" w:type="dxa"/>
              <w:bottom w:w="57" w:type="dxa"/>
              <w:right w:w="57" w:type="dxa"/>
            </w:tcMar>
          </w:tcPr>
          <w:p w14:paraId="0CE3F392" w14:textId="77777777" w:rsidR="00F53014" w:rsidRDefault="003A1402">
            <w:pPr>
              <w:pBdr>
                <w:top w:val="nil"/>
                <w:left w:val="nil"/>
                <w:bottom w:val="nil"/>
                <w:right w:val="nil"/>
                <w:between w:val="nil"/>
              </w:pBdr>
              <w:tabs>
                <w:tab w:val="right" w:pos="5040"/>
              </w:tabs>
              <w:spacing w:after="80"/>
              <w:rPr>
                <w:highlight w:val="yellow"/>
              </w:rPr>
            </w:pPr>
            <w:r>
              <w:rPr>
                <w:color w:val="000000"/>
                <w:highlight w:val="yellow"/>
              </w:rPr>
              <w:t>Title:</w:t>
            </w:r>
          </w:p>
        </w:tc>
        <w:tc>
          <w:tcPr>
            <w:tcW w:w="795" w:type="dxa"/>
          </w:tcPr>
          <w:p w14:paraId="2003EF73" w14:textId="77777777" w:rsidR="00F53014" w:rsidRDefault="00F53014">
            <w:pPr>
              <w:pBdr>
                <w:top w:val="nil"/>
                <w:left w:val="nil"/>
                <w:bottom w:val="nil"/>
                <w:right w:val="nil"/>
                <w:between w:val="nil"/>
              </w:pBdr>
              <w:tabs>
                <w:tab w:val="right" w:pos="5040"/>
              </w:tabs>
              <w:spacing w:after="80"/>
              <w:rPr>
                <w:color w:val="000000"/>
              </w:rPr>
            </w:pPr>
          </w:p>
        </w:tc>
        <w:tc>
          <w:tcPr>
            <w:tcW w:w="4680" w:type="dxa"/>
          </w:tcPr>
          <w:p w14:paraId="5205C639" w14:textId="77777777" w:rsidR="00F53014" w:rsidRDefault="003A1402">
            <w:pPr>
              <w:pBdr>
                <w:top w:val="nil"/>
                <w:left w:val="nil"/>
                <w:bottom w:val="nil"/>
                <w:right w:val="nil"/>
                <w:between w:val="nil"/>
              </w:pBdr>
              <w:tabs>
                <w:tab w:val="right" w:pos="5040"/>
              </w:tabs>
              <w:spacing w:after="80"/>
              <w:rPr>
                <w:color w:val="000000"/>
                <w:u w:val="single"/>
              </w:rPr>
            </w:pPr>
            <w:r>
              <w:rPr>
                <w:color w:val="000000"/>
                <w:u w:val="single"/>
              </w:rPr>
              <w:tab/>
            </w:r>
          </w:p>
        </w:tc>
      </w:tr>
      <w:tr w:rsidR="00F53014" w14:paraId="0DB2613A" w14:textId="77777777">
        <w:tc>
          <w:tcPr>
            <w:tcW w:w="3870" w:type="dxa"/>
            <w:tcMar>
              <w:top w:w="57" w:type="dxa"/>
              <w:left w:w="57" w:type="dxa"/>
              <w:bottom w:w="57" w:type="dxa"/>
              <w:right w:w="57" w:type="dxa"/>
            </w:tcMar>
          </w:tcPr>
          <w:p w14:paraId="04D6FB1E" w14:textId="77777777" w:rsidR="00F53014" w:rsidRDefault="003A1402">
            <w:pPr>
              <w:tabs>
                <w:tab w:val="right" w:pos="5040"/>
              </w:tabs>
              <w:spacing w:after="80"/>
              <w:rPr>
                <w:color w:val="000000"/>
                <w:highlight w:val="yellow"/>
              </w:rPr>
            </w:pPr>
            <w:r>
              <w:rPr>
                <w:highlight w:val="yellow"/>
              </w:rPr>
              <w:t>Date:</w:t>
            </w:r>
          </w:p>
        </w:tc>
        <w:tc>
          <w:tcPr>
            <w:tcW w:w="795" w:type="dxa"/>
          </w:tcPr>
          <w:p w14:paraId="466C699E" w14:textId="77777777" w:rsidR="00F53014" w:rsidRDefault="00F53014">
            <w:pPr>
              <w:pBdr>
                <w:top w:val="nil"/>
                <w:left w:val="nil"/>
                <w:bottom w:val="nil"/>
                <w:right w:val="nil"/>
                <w:between w:val="nil"/>
              </w:pBdr>
              <w:tabs>
                <w:tab w:val="right" w:pos="5040"/>
              </w:tabs>
              <w:spacing w:after="80"/>
              <w:rPr>
                <w:color w:val="000000"/>
              </w:rPr>
            </w:pPr>
          </w:p>
        </w:tc>
        <w:tc>
          <w:tcPr>
            <w:tcW w:w="4680" w:type="dxa"/>
          </w:tcPr>
          <w:p w14:paraId="481CA352" w14:textId="77777777" w:rsidR="00F53014" w:rsidRDefault="003A1402">
            <w:pPr>
              <w:pBdr>
                <w:top w:val="nil"/>
                <w:left w:val="nil"/>
                <w:bottom w:val="nil"/>
                <w:right w:val="nil"/>
                <w:between w:val="nil"/>
              </w:pBdr>
              <w:tabs>
                <w:tab w:val="right" w:pos="5040"/>
              </w:tabs>
              <w:spacing w:after="80"/>
              <w:rPr>
                <w:color w:val="000000"/>
                <w:u w:val="single"/>
              </w:rPr>
            </w:pPr>
            <w:r>
              <w:rPr>
                <w:color w:val="000000"/>
                <w:u w:val="single"/>
              </w:rPr>
              <w:tab/>
            </w:r>
          </w:p>
        </w:tc>
      </w:tr>
    </w:tbl>
    <w:p w14:paraId="0F4898C8" w14:textId="478EB116" w:rsidR="006E3026" w:rsidRDefault="006E3026">
      <w:pPr>
        <w:pBdr>
          <w:top w:val="nil"/>
          <w:left w:val="nil"/>
          <w:bottom w:val="nil"/>
          <w:right w:val="nil"/>
          <w:between w:val="nil"/>
        </w:pBdr>
        <w:tabs>
          <w:tab w:val="right" w:pos="5040"/>
        </w:tabs>
        <w:spacing w:after="240"/>
        <w:rPr>
          <w:color w:val="000000"/>
        </w:rPr>
      </w:pPr>
      <w:r>
        <w:rPr>
          <w:color w:val="000000"/>
        </w:rPr>
        <w:br w:type="page"/>
      </w:r>
    </w:p>
    <w:p w14:paraId="482C778D" w14:textId="3D87B4D9" w:rsidR="00F53014" w:rsidRPr="006E3026" w:rsidRDefault="006E3026" w:rsidP="006E3026">
      <w:pPr>
        <w:pBdr>
          <w:top w:val="nil"/>
          <w:left w:val="nil"/>
          <w:bottom w:val="nil"/>
          <w:right w:val="nil"/>
          <w:between w:val="nil"/>
        </w:pBdr>
        <w:tabs>
          <w:tab w:val="right" w:pos="5040"/>
        </w:tabs>
        <w:spacing w:after="240"/>
        <w:jc w:val="center"/>
        <w:rPr>
          <w:color w:val="000000"/>
          <w:u w:val="single"/>
        </w:rPr>
      </w:pPr>
      <w:r w:rsidRPr="006E3026">
        <w:rPr>
          <w:color w:val="000000"/>
          <w:u w:val="single"/>
        </w:rPr>
        <w:lastRenderedPageBreak/>
        <w:t>Exhibit A</w:t>
      </w:r>
    </w:p>
    <w:p w14:paraId="3470ED9A" w14:textId="7C398910" w:rsidR="006E3026" w:rsidRDefault="00E800EB" w:rsidP="006E3026">
      <w:pPr>
        <w:pBdr>
          <w:top w:val="nil"/>
          <w:left w:val="nil"/>
          <w:bottom w:val="nil"/>
          <w:right w:val="nil"/>
          <w:between w:val="nil"/>
        </w:pBdr>
        <w:tabs>
          <w:tab w:val="right" w:pos="5040"/>
        </w:tabs>
        <w:spacing w:after="240"/>
        <w:jc w:val="center"/>
        <w:rPr>
          <w:color w:val="000000"/>
        </w:rPr>
      </w:pPr>
      <w:r>
        <w:rPr>
          <w:color w:val="000000"/>
        </w:rPr>
        <w:t xml:space="preserve">Potential </w:t>
      </w:r>
      <w:r w:rsidR="006E3026" w:rsidRPr="006E3026">
        <w:rPr>
          <w:color w:val="000000"/>
        </w:rPr>
        <w:t>New York State HRSN Enhanced Services</w:t>
      </w:r>
    </w:p>
    <w:tbl>
      <w:tblPr>
        <w:tblStyle w:val="TableGrid"/>
        <w:tblW w:w="0" w:type="auto"/>
        <w:tblLook w:val="04A0" w:firstRow="1" w:lastRow="0" w:firstColumn="1" w:lastColumn="0" w:noHBand="0" w:noVBand="1"/>
      </w:tblPr>
      <w:tblGrid>
        <w:gridCol w:w="1975"/>
        <w:gridCol w:w="2250"/>
        <w:gridCol w:w="5125"/>
      </w:tblGrid>
      <w:tr w:rsidR="006E3026" w14:paraId="17EE3A65" w14:textId="77777777" w:rsidTr="00720025">
        <w:trPr>
          <w:tblHeader/>
        </w:trPr>
        <w:tc>
          <w:tcPr>
            <w:tcW w:w="1975" w:type="dxa"/>
            <w:shd w:val="clear" w:color="auto" w:fill="C6D9F1" w:themeFill="text2" w:themeFillTint="33"/>
          </w:tcPr>
          <w:p w14:paraId="1C95AF41" w14:textId="654A46A9" w:rsidR="006E3026" w:rsidRPr="00A22B41" w:rsidRDefault="006E3026" w:rsidP="00F37301">
            <w:pPr>
              <w:tabs>
                <w:tab w:val="right" w:pos="5040"/>
              </w:tabs>
              <w:spacing w:after="240"/>
              <w:rPr>
                <w:color w:val="000000"/>
              </w:rPr>
            </w:pPr>
            <w:r w:rsidRPr="00A22B41">
              <w:rPr>
                <w:color w:val="000000"/>
              </w:rPr>
              <w:t>Category</w:t>
            </w:r>
          </w:p>
        </w:tc>
        <w:tc>
          <w:tcPr>
            <w:tcW w:w="2250" w:type="dxa"/>
            <w:shd w:val="clear" w:color="auto" w:fill="C6D9F1" w:themeFill="text2" w:themeFillTint="33"/>
          </w:tcPr>
          <w:p w14:paraId="357112DA" w14:textId="00B0079E" w:rsidR="006E3026" w:rsidRPr="00A22B41" w:rsidRDefault="006E3026" w:rsidP="00F37301">
            <w:pPr>
              <w:tabs>
                <w:tab w:val="right" w:pos="5040"/>
              </w:tabs>
              <w:spacing w:after="240"/>
              <w:rPr>
                <w:color w:val="000000"/>
              </w:rPr>
            </w:pPr>
            <w:r w:rsidRPr="00A22B41">
              <w:rPr>
                <w:color w:val="000000"/>
              </w:rPr>
              <w:t>Service Name</w:t>
            </w:r>
          </w:p>
        </w:tc>
        <w:tc>
          <w:tcPr>
            <w:tcW w:w="5125" w:type="dxa"/>
            <w:shd w:val="clear" w:color="auto" w:fill="C6D9F1" w:themeFill="text2" w:themeFillTint="33"/>
          </w:tcPr>
          <w:p w14:paraId="4DECFE8D" w14:textId="15F22BB4" w:rsidR="006E3026" w:rsidRPr="00A22B41" w:rsidRDefault="006E3026" w:rsidP="00F37301">
            <w:pPr>
              <w:tabs>
                <w:tab w:val="right" w:pos="5040"/>
              </w:tabs>
              <w:spacing w:after="240"/>
              <w:rPr>
                <w:color w:val="000000"/>
              </w:rPr>
            </w:pPr>
            <w:r w:rsidRPr="00A22B41">
              <w:rPr>
                <w:color w:val="000000"/>
              </w:rPr>
              <w:t>Description</w:t>
            </w:r>
          </w:p>
        </w:tc>
      </w:tr>
      <w:tr w:rsidR="006E3026" w14:paraId="6219FCEB" w14:textId="77777777" w:rsidTr="001065F3">
        <w:tc>
          <w:tcPr>
            <w:tcW w:w="1975" w:type="dxa"/>
          </w:tcPr>
          <w:p w14:paraId="2942FFFF" w14:textId="2628E540" w:rsidR="006E3026" w:rsidRDefault="00F37301" w:rsidP="00F37301">
            <w:pPr>
              <w:tabs>
                <w:tab w:val="right" w:pos="5040"/>
              </w:tabs>
              <w:spacing w:after="240"/>
              <w:rPr>
                <w:color w:val="000000"/>
              </w:rPr>
            </w:pPr>
            <w:r>
              <w:rPr>
                <w:color w:val="000000"/>
              </w:rPr>
              <w:t>Screening</w:t>
            </w:r>
          </w:p>
        </w:tc>
        <w:tc>
          <w:tcPr>
            <w:tcW w:w="2250" w:type="dxa"/>
          </w:tcPr>
          <w:p w14:paraId="0A63A22C" w14:textId="5EFDE41C" w:rsidR="006E3026" w:rsidRDefault="00F37301" w:rsidP="00F37301">
            <w:pPr>
              <w:tabs>
                <w:tab w:val="right" w:pos="5040"/>
              </w:tabs>
              <w:spacing w:after="240"/>
              <w:rPr>
                <w:color w:val="000000"/>
              </w:rPr>
            </w:pPr>
            <w:r>
              <w:rPr>
                <w:color w:val="000000"/>
              </w:rPr>
              <w:t>Screening</w:t>
            </w:r>
          </w:p>
        </w:tc>
        <w:tc>
          <w:tcPr>
            <w:tcW w:w="5125" w:type="dxa"/>
          </w:tcPr>
          <w:p w14:paraId="2B511EDE" w14:textId="4B2AE9BA" w:rsidR="006E3026" w:rsidRDefault="00F37301" w:rsidP="00F37301">
            <w:pPr>
              <w:tabs>
                <w:tab w:val="right" w:pos="5040"/>
              </w:tabs>
              <w:spacing w:after="240"/>
              <w:rPr>
                <w:color w:val="000000"/>
              </w:rPr>
            </w:pPr>
            <w:r w:rsidRPr="00F37301">
              <w:rPr>
                <w:color w:val="000000"/>
              </w:rPr>
              <w:t>Social needs Screening of Medicaid Member using the</w:t>
            </w:r>
            <w:r>
              <w:rPr>
                <w:color w:val="000000"/>
              </w:rPr>
              <w:t xml:space="preserve"> Center</w:t>
            </w:r>
            <w:r w:rsidR="001065F3">
              <w:rPr>
                <w:color w:val="000000"/>
              </w:rPr>
              <w:t>s</w:t>
            </w:r>
            <w:r>
              <w:rPr>
                <w:color w:val="000000"/>
              </w:rPr>
              <w:t xml:space="preserve"> for Medicare and Medicaid Services</w:t>
            </w:r>
            <w:r w:rsidRPr="00F37301">
              <w:rPr>
                <w:color w:val="000000"/>
              </w:rPr>
              <w:t xml:space="preserve"> </w:t>
            </w:r>
            <w:r>
              <w:rPr>
                <w:color w:val="000000"/>
              </w:rPr>
              <w:t>Accountable Health Care Communities</w:t>
            </w:r>
            <w:r w:rsidRPr="00F37301">
              <w:rPr>
                <w:color w:val="000000"/>
              </w:rPr>
              <w:t xml:space="preserve"> HRSN </w:t>
            </w:r>
            <w:r w:rsidR="00720025">
              <w:rPr>
                <w:color w:val="000000"/>
              </w:rPr>
              <w:t>S</w:t>
            </w:r>
            <w:r w:rsidRPr="00F37301">
              <w:rPr>
                <w:color w:val="000000"/>
              </w:rPr>
              <w:t>creening tool.</w:t>
            </w:r>
            <w:r>
              <w:rPr>
                <w:rStyle w:val="FootnoteReference"/>
                <w:color w:val="000000"/>
              </w:rPr>
              <w:footnoteReference w:id="2"/>
            </w:r>
          </w:p>
        </w:tc>
      </w:tr>
      <w:tr w:rsidR="006E3026" w14:paraId="180B4B7C" w14:textId="77777777" w:rsidTr="001065F3">
        <w:tc>
          <w:tcPr>
            <w:tcW w:w="1975" w:type="dxa"/>
          </w:tcPr>
          <w:p w14:paraId="1A08AE26" w14:textId="1C7A3D90" w:rsidR="006E3026" w:rsidRDefault="001065F3" w:rsidP="00F37301">
            <w:pPr>
              <w:tabs>
                <w:tab w:val="right" w:pos="5040"/>
              </w:tabs>
              <w:spacing w:after="240"/>
              <w:rPr>
                <w:color w:val="000000"/>
              </w:rPr>
            </w:pPr>
            <w:r>
              <w:rPr>
                <w:color w:val="000000"/>
              </w:rPr>
              <w:t>Multi Domain</w:t>
            </w:r>
          </w:p>
        </w:tc>
        <w:tc>
          <w:tcPr>
            <w:tcW w:w="2250" w:type="dxa"/>
          </w:tcPr>
          <w:p w14:paraId="5A0D950F" w14:textId="386C4051" w:rsidR="006E3026" w:rsidRDefault="001065F3" w:rsidP="00F37301">
            <w:pPr>
              <w:tabs>
                <w:tab w:val="right" w:pos="5040"/>
              </w:tabs>
              <w:spacing w:after="240"/>
              <w:rPr>
                <w:color w:val="000000"/>
              </w:rPr>
            </w:pPr>
            <w:r>
              <w:rPr>
                <w:color w:val="000000"/>
              </w:rPr>
              <w:t>Navigation Case Management</w:t>
            </w:r>
          </w:p>
        </w:tc>
        <w:tc>
          <w:tcPr>
            <w:tcW w:w="5125" w:type="dxa"/>
          </w:tcPr>
          <w:p w14:paraId="561C5590" w14:textId="2D3B6383" w:rsidR="006E3026" w:rsidRDefault="001065F3" w:rsidP="00F37301">
            <w:pPr>
              <w:tabs>
                <w:tab w:val="right" w:pos="5040"/>
              </w:tabs>
              <w:spacing w:after="240"/>
              <w:rPr>
                <w:color w:val="000000"/>
              </w:rPr>
            </w:pPr>
            <w:r>
              <w:rPr>
                <w:color w:val="000000"/>
              </w:rPr>
              <w:t>Linkages to other local, state, and federal benefits and programs.</w:t>
            </w:r>
          </w:p>
        </w:tc>
      </w:tr>
      <w:tr w:rsidR="006E3026" w14:paraId="29FF6575" w14:textId="77777777" w:rsidTr="001065F3">
        <w:tc>
          <w:tcPr>
            <w:tcW w:w="1975" w:type="dxa"/>
          </w:tcPr>
          <w:p w14:paraId="045B832E" w14:textId="1CFAFB07" w:rsidR="006E3026" w:rsidRDefault="001065F3" w:rsidP="00F37301">
            <w:pPr>
              <w:tabs>
                <w:tab w:val="right" w:pos="5040"/>
              </w:tabs>
              <w:spacing w:after="240"/>
              <w:rPr>
                <w:color w:val="000000"/>
              </w:rPr>
            </w:pPr>
            <w:r>
              <w:rPr>
                <w:color w:val="000000"/>
              </w:rPr>
              <w:t>Multi Domain</w:t>
            </w:r>
          </w:p>
        </w:tc>
        <w:tc>
          <w:tcPr>
            <w:tcW w:w="2250" w:type="dxa"/>
          </w:tcPr>
          <w:p w14:paraId="45C438DA" w14:textId="1E6E9A91" w:rsidR="006E3026" w:rsidRDefault="001065F3" w:rsidP="00F37301">
            <w:pPr>
              <w:tabs>
                <w:tab w:val="right" w:pos="5040"/>
              </w:tabs>
              <w:spacing w:after="240"/>
              <w:rPr>
                <w:color w:val="000000"/>
              </w:rPr>
            </w:pPr>
            <w:r>
              <w:rPr>
                <w:color w:val="000000"/>
              </w:rPr>
              <w:t>HRSN Case Management</w:t>
            </w:r>
          </w:p>
        </w:tc>
        <w:tc>
          <w:tcPr>
            <w:tcW w:w="5125" w:type="dxa"/>
          </w:tcPr>
          <w:p w14:paraId="13C5E56E" w14:textId="1F017B04" w:rsidR="006E3026" w:rsidRDefault="001065F3" w:rsidP="001065F3">
            <w:pPr>
              <w:tabs>
                <w:tab w:val="right" w:pos="5040"/>
              </w:tabs>
              <w:spacing w:after="240"/>
              <w:rPr>
                <w:color w:val="000000"/>
              </w:rPr>
            </w:pPr>
            <w:r>
              <w:rPr>
                <w:color w:val="000000"/>
              </w:rPr>
              <w:t>C</w:t>
            </w:r>
            <w:r w:rsidRPr="001065F3">
              <w:rPr>
                <w:color w:val="000000"/>
              </w:rPr>
              <w:t>ase management, outreach, referral management</w:t>
            </w:r>
            <w:r>
              <w:rPr>
                <w:color w:val="000000"/>
              </w:rPr>
              <w:t xml:space="preserve"> </w:t>
            </w:r>
            <w:r w:rsidRPr="001065F3">
              <w:rPr>
                <w:color w:val="000000"/>
              </w:rPr>
              <w:t>and education, including linkages to other state and</w:t>
            </w:r>
            <w:r>
              <w:rPr>
                <w:color w:val="000000"/>
              </w:rPr>
              <w:t xml:space="preserve"> </w:t>
            </w:r>
            <w:r w:rsidRPr="001065F3">
              <w:rPr>
                <w:color w:val="000000"/>
              </w:rPr>
              <w:t>federal benefit programs, benefit program application</w:t>
            </w:r>
            <w:r>
              <w:rPr>
                <w:color w:val="000000"/>
              </w:rPr>
              <w:t xml:space="preserve"> </w:t>
            </w:r>
            <w:r w:rsidRPr="001065F3">
              <w:rPr>
                <w:color w:val="000000"/>
              </w:rPr>
              <w:t>assistance, and benefit program application fees.</w:t>
            </w:r>
            <w:r>
              <w:rPr>
                <w:color w:val="000000"/>
              </w:rPr>
              <w:t xml:space="preserve"> </w:t>
            </w:r>
            <w:r w:rsidRPr="001065F3">
              <w:rPr>
                <w:color w:val="000000"/>
              </w:rPr>
              <w:t>Connection to clinical case management.</w:t>
            </w:r>
            <w:r>
              <w:rPr>
                <w:color w:val="000000"/>
              </w:rPr>
              <w:t xml:space="preserve"> </w:t>
            </w:r>
            <w:r w:rsidRPr="001065F3">
              <w:rPr>
                <w:color w:val="000000"/>
              </w:rPr>
              <w:t>Connection</w:t>
            </w:r>
            <w:r>
              <w:rPr>
                <w:color w:val="000000"/>
              </w:rPr>
              <w:t xml:space="preserve"> </w:t>
            </w:r>
            <w:r w:rsidRPr="001065F3">
              <w:rPr>
                <w:color w:val="000000"/>
              </w:rPr>
              <w:t>to employment, education, childcare, and interpersonal violence resources. Follow up after services and linkages.</w:t>
            </w:r>
          </w:p>
        </w:tc>
      </w:tr>
      <w:tr w:rsidR="006E3026" w14:paraId="2BB777DC" w14:textId="77777777" w:rsidTr="001065F3">
        <w:tc>
          <w:tcPr>
            <w:tcW w:w="1975" w:type="dxa"/>
          </w:tcPr>
          <w:p w14:paraId="45E411B2" w14:textId="3941B562" w:rsidR="006E3026" w:rsidRDefault="001065F3" w:rsidP="00F37301">
            <w:pPr>
              <w:tabs>
                <w:tab w:val="right" w:pos="5040"/>
              </w:tabs>
              <w:spacing w:after="240"/>
              <w:rPr>
                <w:color w:val="000000"/>
              </w:rPr>
            </w:pPr>
            <w:r>
              <w:rPr>
                <w:color w:val="000000"/>
              </w:rPr>
              <w:t>Housing</w:t>
            </w:r>
          </w:p>
        </w:tc>
        <w:tc>
          <w:tcPr>
            <w:tcW w:w="2250" w:type="dxa"/>
          </w:tcPr>
          <w:p w14:paraId="5987AB7C" w14:textId="208E43C9" w:rsidR="006E3026" w:rsidRDefault="001065F3" w:rsidP="00F37301">
            <w:pPr>
              <w:tabs>
                <w:tab w:val="right" w:pos="5040"/>
              </w:tabs>
              <w:spacing w:after="240"/>
              <w:rPr>
                <w:color w:val="000000"/>
              </w:rPr>
            </w:pPr>
            <w:r>
              <w:rPr>
                <w:color w:val="000000"/>
              </w:rPr>
              <w:t>Navigation</w:t>
            </w:r>
          </w:p>
        </w:tc>
        <w:tc>
          <w:tcPr>
            <w:tcW w:w="5125" w:type="dxa"/>
          </w:tcPr>
          <w:p w14:paraId="44CA9B5F" w14:textId="6E988306" w:rsidR="006E3026" w:rsidRDefault="001065F3" w:rsidP="00F37301">
            <w:pPr>
              <w:tabs>
                <w:tab w:val="right" w:pos="5040"/>
              </w:tabs>
              <w:spacing w:after="240"/>
              <w:rPr>
                <w:color w:val="000000"/>
              </w:rPr>
            </w:pPr>
            <w:r>
              <w:rPr>
                <w:color w:val="000000"/>
              </w:rPr>
              <w:t>Housing navigation services.</w:t>
            </w:r>
          </w:p>
        </w:tc>
      </w:tr>
      <w:tr w:rsidR="006E3026" w14:paraId="48450F51" w14:textId="77777777" w:rsidTr="001065F3">
        <w:tc>
          <w:tcPr>
            <w:tcW w:w="1975" w:type="dxa"/>
          </w:tcPr>
          <w:p w14:paraId="387DFF6D" w14:textId="09D8534E" w:rsidR="006E3026" w:rsidRDefault="001065F3" w:rsidP="00F37301">
            <w:pPr>
              <w:tabs>
                <w:tab w:val="right" w:pos="5040"/>
              </w:tabs>
              <w:spacing w:after="240"/>
              <w:rPr>
                <w:color w:val="000000"/>
              </w:rPr>
            </w:pPr>
            <w:r>
              <w:rPr>
                <w:color w:val="000000"/>
              </w:rPr>
              <w:t>Housing</w:t>
            </w:r>
          </w:p>
        </w:tc>
        <w:tc>
          <w:tcPr>
            <w:tcW w:w="2250" w:type="dxa"/>
          </w:tcPr>
          <w:p w14:paraId="54BCBD88" w14:textId="65270C6C" w:rsidR="006E3026" w:rsidRDefault="001065F3" w:rsidP="00F37301">
            <w:pPr>
              <w:tabs>
                <w:tab w:val="right" w:pos="5040"/>
              </w:tabs>
              <w:spacing w:after="240"/>
              <w:rPr>
                <w:color w:val="000000"/>
              </w:rPr>
            </w:pPr>
            <w:r>
              <w:rPr>
                <w:color w:val="000000"/>
              </w:rPr>
              <w:t>Community Transitional Supports</w:t>
            </w:r>
          </w:p>
        </w:tc>
        <w:tc>
          <w:tcPr>
            <w:tcW w:w="5125" w:type="dxa"/>
          </w:tcPr>
          <w:p w14:paraId="67BFE870" w14:textId="359E9E5D" w:rsidR="006E3026" w:rsidRDefault="001065F3" w:rsidP="00F37301">
            <w:pPr>
              <w:tabs>
                <w:tab w:val="right" w:pos="5040"/>
              </w:tabs>
              <w:spacing w:after="240"/>
              <w:rPr>
                <w:color w:val="000000"/>
              </w:rPr>
            </w:pPr>
            <w:r>
              <w:t>One-time transition and moving costs (e.g., security deposit, first month’s rent, brokers fees, utility activation fees, movers, relocation expenses, pest eradication, inspection fees, pantry stocking, and the purchase of household goods and furniture).</w:t>
            </w:r>
          </w:p>
        </w:tc>
      </w:tr>
      <w:tr w:rsidR="006E3026" w14:paraId="4DD12A17" w14:textId="77777777" w:rsidTr="001065F3">
        <w:tc>
          <w:tcPr>
            <w:tcW w:w="1975" w:type="dxa"/>
          </w:tcPr>
          <w:p w14:paraId="1C696F38" w14:textId="56DC3658" w:rsidR="006E3026" w:rsidRDefault="001065F3" w:rsidP="00F37301">
            <w:pPr>
              <w:tabs>
                <w:tab w:val="right" w:pos="5040"/>
              </w:tabs>
              <w:spacing w:after="240"/>
              <w:rPr>
                <w:color w:val="000000"/>
              </w:rPr>
            </w:pPr>
            <w:r>
              <w:rPr>
                <w:color w:val="000000"/>
              </w:rPr>
              <w:t>Housing</w:t>
            </w:r>
          </w:p>
        </w:tc>
        <w:tc>
          <w:tcPr>
            <w:tcW w:w="2250" w:type="dxa"/>
          </w:tcPr>
          <w:p w14:paraId="13DC7430" w14:textId="617779CB" w:rsidR="006E3026" w:rsidRDefault="001065F3" w:rsidP="00F37301">
            <w:pPr>
              <w:tabs>
                <w:tab w:val="right" w:pos="5040"/>
              </w:tabs>
              <w:spacing w:after="240"/>
              <w:rPr>
                <w:color w:val="000000"/>
              </w:rPr>
            </w:pPr>
            <w:r>
              <w:rPr>
                <w:color w:val="000000"/>
              </w:rPr>
              <w:t>Utility Set up/ Assistance</w:t>
            </w:r>
          </w:p>
        </w:tc>
        <w:tc>
          <w:tcPr>
            <w:tcW w:w="5125" w:type="dxa"/>
          </w:tcPr>
          <w:p w14:paraId="0B621BCC" w14:textId="6685B324" w:rsidR="006E3026" w:rsidRDefault="00242E06" w:rsidP="00242E06">
            <w:pPr>
              <w:tabs>
                <w:tab w:val="right" w:pos="5040"/>
              </w:tabs>
              <w:spacing w:after="240"/>
              <w:rPr>
                <w:color w:val="000000"/>
              </w:rPr>
            </w:pPr>
            <w:r>
              <w:rPr>
                <w:color w:val="000000"/>
              </w:rPr>
              <w:t>U</w:t>
            </w:r>
            <w:r w:rsidRPr="00242E06">
              <w:rPr>
                <w:color w:val="000000"/>
              </w:rPr>
              <w:t>tility costs including activation expenses and back payments to secure/keep utilities. Service is limited to</w:t>
            </w:r>
            <w:r>
              <w:rPr>
                <w:color w:val="000000"/>
              </w:rPr>
              <w:t xml:space="preserve"> </w:t>
            </w:r>
            <w:r w:rsidRPr="00242E06">
              <w:rPr>
                <w:color w:val="000000"/>
              </w:rPr>
              <w:t>individuals receiving rent/temporary housing.</w:t>
            </w:r>
          </w:p>
        </w:tc>
      </w:tr>
      <w:tr w:rsidR="006E3026" w14:paraId="235FEA10" w14:textId="77777777" w:rsidTr="001065F3">
        <w:tc>
          <w:tcPr>
            <w:tcW w:w="1975" w:type="dxa"/>
          </w:tcPr>
          <w:p w14:paraId="6C488B0C" w14:textId="51C55853" w:rsidR="006E3026" w:rsidRDefault="00242E06" w:rsidP="00F37301">
            <w:pPr>
              <w:tabs>
                <w:tab w:val="right" w:pos="5040"/>
              </w:tabs>
              <w:spacing w:after="240"/>
              <w:rPr>
                <w:color w:val="000000"/>
              </w:rPr>
            </w:pPr>
            <w:r>
              <w:rPr>
                <w:color w:val="000000"/>
              </w:rPr>
              <w:t>Housing</w:t>
            </w:r>
          </w:p>
        </w:tc>
        <w:tc>
          <w:tcPr>
            <w:tcW w:w="2250" w:type="dxa"/>
          </w:tcPr>
          <w:p w14:paraId="360B2B45" w14:textId="33A87AB0" w:rsidR="006E3026" w:rsidRDefault="00242E06" w:rsidP="00F37301">
            <w:pPr>
              <w:tabs>
                <w:tab w:val="right" w:pos="5040"/>
              </w:tabs>
              <w:spacing w:after="240"/>
              <w:rPr>
                <w:color w:val="000000"/>
              </w:rPr>
            </w:pPr>
            <w:r>
              <w:rPr>
                <w:color w:val="000000"/>
              </w:rPr>
              <w:t>Rent/ temporary housing for up to 6 months</w:t>
            </w:r>
          </w:p>
        </w:tc>
        <w:tc>
          <w:tcPr>
            <w:tcW w:w="5125" w:type="dxa"/>
          </w:tcPr>
          <w:p w14:paraId="6587BCB9" w14:textId="1CA00547" w:rsidR="006E3026" w:rsidRDefault="00242E06" w:rsidP="00242E06">
            <w:pPr>
              <w:tabs>
                <w:tab w:val="right" w:pos="5040"/>
              </w:tabs>
              <w:spacing w:after="240"/>
              <w:rPr>
                <w:color w:val="000000"/>
              </w:rPr>
            </w:pPr>
            <w:r>
              <w:rPr>
                <w:color w:val="000000"/>
              </w:rPr>
              <w:t>R</w:t>
            </w:r>
            <w:r w:rsidRPr="00242E06">
              <w:rPr>
                <w:color w:val="000000"/>
              </w:rPr>
              <w:t>ent/temporary housing (+/-utilities) for up to 6 months. Limited to individuals transitioning out of institutional care/congregate settings or individuals</w:t>
            </w:r>
            <w:r>
              <w:rPr>
                <w:color w:val="000000"/>
              </w:rPr>
              <w:t xml:space="preserve"> </w:t>
            </w:r>
            <w:r w:rsidRPr="00242E06">
              <w:rPr>
                <w:color w:val="000000"/>
              </w:rPr>
              <w:t>who are homeless, such as nursing facilities, large</w:t>
            </w:r>
            <w:r>
              <w:rPr>
                <w:color w:val="000000"/>
              </w:rPr>
              <w:t xml:space="preserve"> </w:t>
            </w:r>
            <w:r w:rsidRPr="00242E06">
              <w:rPr>
                <w:color w:val="000000"/>
              </w:rPr>
              <w:t xml:space="preserve">group homes, congregate residential settings, </w:t>
            </w:r>
            <w:r>
              <w:rPr>
                <w:color w:val="000000"/>
              </w:rPr>
              <w:t>institutions for mental diseases</w:t>
            </w:r>
            <w:r w:rsidRPr="00242E06">
              <w:rPr>
                <w:color w:val="000000"/>
              </w:rPr>
              <w:t xml:space="preserve">, </w:t>
            </w:r>
            <w:proofErr w:type="gramStart"/>
            <w:r w:rsidRPr="00242E06">
              <w:rPr>
                <w:color w:val="000000"/>
              </w:rPr>
              <w:t>correctional facilities</w:t>
            </w:r>
            <w:proofErr w:type="gramEnd"/>
            <w:r w:rsidRPr="00242E06">
              <w:rPr>
                <w:color w:val="000000"/>
              </w:rPr>
              <w:t>, and acute care hospitals;</w:t>
            </w:r>
            <w:r>
              <w:rPr>
                <w:color w:val="000000"/>
              </w:rPr>
              <w:t xml:space="preserve"> </w:t>
            </w:r>
            <w:r w:rsidRPr="00242E06">
              <w:rPr>
                <w:color w:val="000000"/>
              </w:rPr>
              <w:t xml:space="preserve">individuals who are Medicaid high utilizers who are homeless as defined by 24 CFR 91.5; and youth transitioning </w:t>
            </w:r>
            <w:r w:rsidRPr="00242E06">
              <w:rPr>
                <w:color w:val="000000"/>
              </w:rPr>
              <w:lastRenderedPageBreak/>
              <w:t>out of the child welfare system including foster care.</w:t>
            </w:r>
          </w:p>
        </w:tc>
      </w:tr>
      <w:tr w:rsidR="00720025" w14:paraId="0810E2F5" w14:textId="77777777" w:rsidTr="001065F3">
        <w:tc>
          <w:tcPr>
            <w:tcW w:w="1975" w:type="dxa"/>
          </w:tcPr>
          <w:p w14:paraId="369E63C8" w14:textId="69AB9463" w:rsidR="00720025" w:rsidRDefault="00720025" w:rsidP="00F37301">
            <w:pPr>
              <w:tabs>
                <w:tab w:val="right" w:pos="5040"/>
              </w:tabs>
              <w:spacing w:after="240"/>
              <w:rPr>
                <w:color w:val="000000"/>
              </w:rPr>
            </w:pPr>
            <w:r>
              <w:rPr>
                <w:color w:val="000000"/>
              </w:rPr>
              <w:t>Housing</w:t>
            </w:r>
          </w:p>
        </w:tc>
        <w:tc>
          <w:tcPr>
            <w:tcW w:w="2250" w:type="dxa"/>
          </w:tcPr>
          <w:p w14:paraId="7566BE54" w14:textId="5E2CE3E5" w:rsidR="00720025" w:rsidRDefault="00720025" w:rsidP="00F37301">
            <w:pPr>
              <w:tabs>
                <w:tab w:val="right" w:pos="5040"/>
              </w:tabs>
              <w:spacing w:after="240"/>
              <w:rPr>
                <w:color w:val="000000"/>
              </w:rPr>
            </w:pPr>
            <w:r>
              <w:rPr>
                <w:color w:val="000000"/>
              </w:rPr>
              <w:t>Pre-tenancy and tenancy sustaining services</w:t>
            </w:r>
          </w:p>
        </w:tc>
        <w:tc>
          <w:tcPr>
            <w:tcW w:w="5125" w:type="dxa"/>
          </w:tcPr>
          <w:p w14:paraId="01A09215" w14:textId="693A77CB" w:rsidR="00720025" w:rsidRDefault="00720025" w:rsidP="00720025">
            <w:pPr>
              <w:tabs>
                <w:tab w:val="right" w:pos="5040"/>
              </w:tabs>
              <w:spacing w:after="240"/>
              <w:rPr>
                <w:color w:val="000000"/>
              </w:rPr>
            </w:pPr>
            <w:r>
              <w:rPr>
                <w:color w:val="000000"/>
              </w:rPr>
              <w:t>P</w:t>
            </w:r>
            <w:r w:rsidRPr="00720025">
              <w:rPr>
                <w:color w:val="000000"/>
              </w:rPr>
              <w:t>re-tenancy and tenancy sustaining services, including tenant rights education and eviction prevention.</w:t>
            </w:r>
          </w:p>
        </w:tc>
      </w:tr>
      <w:tr w:rsidR="00720025" w14:paraId="2B73BFD0" w14:textId="77777777" w:rsidTr="001065F3">
        <w:tc>
          <w:tcPr>
            <w:tcW w:w="1975" w:type="dxa"/>
          </w:tcPr>
          <w:p w14:paraId="0C546430" w14:textId="0739BB64" w:rsidR="00720025" w:rsidRDefault="00720025" w:rsidP="00F37301">
            <w:pPr>
              <w:tabs>
                <w:tab w:val="right" w:pos="5040"/>
              </w:tabs>
              <w:spacing w:after="240"/>
              <w:rPr>
                <w:color w:val="000000"/>
              </w:rPr>
            </w:pPr>
            <w:r>
              <w:rPr>
                <w:color w:val="000000"/>
              </w:rPr>
              <w:t>Housing</w:t>
            </w:r>
          </w:p>
        </w:tc>
        <w:tc>
          <w:tcPr>
            <w:tcW w:w="2250" w:type="dxa"/>
          </w:tcPr>
          <w:p w14:paraId="1C942A61" w14:textId="30F4BB9B" w:rsidR="00720025" w:rsidRDefault="00720025" w:rsidP="00F37301">
            <w:pPr>
              <w:tabs>
                <w:tab w:val="right" w:pos="5040"/>
              </w:tabs>
              <w:spacing w:after="240"/>
              <w:rPr>
                <w:color w:val="000000"/>
              </w:rPr>
            </w:pPr>
            <w:r>
              <w:rPr>
                <w:color w:val="000000"/>
              </w:rPr>
              <w:t>Home remediation</w:t>
            </w:r>
          </w:p>
        </w:tc>
        <w:tc>
          <w:tcPr>
            <w:tcW w:w="5125" w:type="dxa"/>
          </w:tcPr>
          <w:p w14:paraId="7B2A93C4" w14:textId="0EFC8C14" w:rsidR="00720025" w:rsidRDefault="00720025" w:rsidP="00720025">
            <w:pPr>
              <w:tabs>
                <w:tab w:val="right" w:pos="5040"/>
              </w:tabs>
              <w:spacing w:after="240"/>
              <w:rPr>
                <w:color w:val="000000"/>
              </w:rPr>
            </w:pPr>
            <w:r>
              <w:rPr>
                <w:color w:val="000000"/>
              </w:rPr>
              <w:t>R</w:t>
            </w:r>
            <w:r w:rsidRPr="00720025">
              <w:rPr>
                <w:color w:val="000000"/>
              </w:rPr>
              <w:t>epairs or remediation for issues such as mold or pest infestation if repair or remediation provides a cost</w:t>
            </w:r>
            <w:r>
              <w:rPr>
                <w:color w:val="000000"/>
              </w:rPr>
              <w:t>-</w:t>
            </w:r>
            <w:r w:rsidRPr="00720025">
              <w:rPr>
                <w:color w:val="000000"/>
              </w:rPr>
              <w:t>effective method of addressing occupant’s health condition, as documented by a health care professional, and remediation is not covered under</w:t>
            </w:r>
            <w:r>
              <w:rPr>
                <w:color w:val="000000"/>
              </w:rPr>
              <w:t xml:space="preserve"> </w:t>
            </w:r>
            <w:r w:rsidRPr="00720025">
              <w:rPr>
                <w:color w:val="000000"/>
              </w:rPr>
              <w:t>any other provision such as tenancy law.</w:t>
            </w:r>
          </w:p>
        </w:tc>
      </w:tr>
      <w:tr w:rsidR="00720025" w14:paraId="2E5ADADC" w14:textId="77777777" w:rsidTr="001065F3">
        <w:tc>
          <w:tcPr>
            <w:tcW w:w="1975" w:type="dxa"/>
          </w:tcPr>
          <w:p w14:paraId="2BAF6956" w14:textId="2BF0CFEE" w:rsidR="00720025" w:rsidRDefault="00720025" w:rsidP="00F37301">
            <w:pPr>
              <w:tabs>
                <w:tab w:val="right" w:pos="5040"/>
              </w:tabs>
              <w:spacing w:after="240"/>
              <w:rPr>
                <w:color w:val="000000"/>
              </w:rPr>
            </w:pPr>
            <w:r>
              <w:rPr>
                <w:color w:val="000000"/>
              </w:rPr>
              <w:t>Housing</w:t>
            </w:r>
          </w:p>
        </w:tc>
        <w:tc>
          <w:tcPr>
            <w:tcW w:w="2250" w:type="dxa"/>
          </w:tcPr>
          <w:p w14:paraId="0368DAE4" w14:textId="07C6A27D" w:rsidR="00720025" w:rsidRDefault="00720025" w:rsidP="00F37301">
            <w:pPr>
              <w:tabs>
                <w:tab w:val="right" w:pos="5040"/>
              </w:tabs>
              <w:spacing w:after="240"/>
              <w:rPr>
                <w:color w:val="000000"/>
              </w:rPr>
            </w:pPr>
            <w:r>
              <w:rPr>
                <w:color w:val="000000"/>
              </w:rPr>
              <w:t>Home accessibility and safety modifications</w:t>
            </w:r>
          </w:p>
        </w:tc>
        <w:tc>
          <w:tcPr>
            <w:tcW w:w="5125" w:type="dxa"/>
          </w:tcPr>
          <w:p w14:paraId="68A21DB7" w14:textId="7ADE4769" w:rsidR="00720025" w:rsidRDefault="00720025" w:rsidP="00720025">
            <w:pPr>
              <w:tabs>
                <w:tab w:val="right" w:pos="5040"/>
              </w:tabs>
              <w:spacing w:after="240"/>
              <w:rPr>
                <w:color w:val="000000"/>
              </w:rPr>
            </w:pPr>
            <w:r>
              <w:rPr>
                <w:color w:val="000000"/>
              </w:rPr>
              <w:t>M</w:t>
            </w:r>
            <w:r w:rsidRPr="00720025">
              <w:rPr>
                <w:color w:val="000000"/>
              </w:rPr>
              <w:t>edically necessary air conditioners, humidifiers, air</w:t>
            </w:r>
            <w:r>
              <w:rPr>
                <w:color w:val="000000"/>
              </w:rPr>
              <w:t xml:space="preserve"> </w:t>
            </w:r>
            <w:r w:rsidRPr="00720025">
              <w:rPr>
                <w:color w:val="000000"/>
              </w:rPr>
              <w:t>filtration devices, and refrigeration units as needed for</w:t>
            </w:r>
            <w:r>
              <w:rPr>
                <w:color w:val="000000"/>
              </w:rPr>
              <w:t xml:space="preserve"> </w:t>
            </w:r>
            <w:r w:rsidRPr="00720025">
              <w:rPr>
                <w:color w:val="000000"/>
              </w:rPr>
              <w:t>medical treatment and prevention. Minor medically necessary home accessibility modifications.</w:t>
            </w:r>
          </w:p>
        </w:tc>
      </w:tr>
      <w:tr w:rsidR="00720025" w14:paraId="266C5AA9" w14:textId="77777777" w:rsidTr="001065F3">
        <w:tc>
          <w:tcPr>
            <w:tcW w:w="1975" w:type="dxa"/>
          </w:tcPr>
          <w:p w14:paraId="41E5FD57" w14:textId="3EC10D29" w:rsidR="00720025" w:rsidRDefault="00720025" w:rsidP="00F37301">
            <w:pPr>
              <w:tabs>
                <w:tab w:val="right" w:pos="5040"/>
              </w:tabs>
              <w:spacing w:after="240"/>
              <w:rPr>
                <w:color w:val="000000"/>
              </w:rPr>
            </w:pPr>
            <w:r>
              <w:rPr>
                <w:color w:val="000000"/>
              </w:rPr>
              <w:t>Housing</w:t>
            </w:r>
          </w:p>
        </w:tc>
        <w:tc>
          <w:tcPr>
            <w:tcW w:w="2250" w:type="dxa"/>
          </w:tcPr>
          <w:p w14:paraId="2F34C567" w14:textId="04034893" w:rsidR="00720025" w:rsidRDefault="00720025" w:rsidP="00F37301">
            <w:pPr>
              <w:tabs>
                <w:tab w:val="right" w:pos="5040"/>
              </w:tabs>
              <w:spacing w:after="240"/>
              <w:rPr>
                <w:color w:val="000000"/>
              </w:rPr>
            </w:pPr>
            <w:r>
              <w:rPr>
                <w:color w:val="000000"/>
              </w:rPr>
              <w:t>Medical respite</w:t>
            </w:r>
          </w:p>
        </w:tc>
        <w:tc>
          <w:tcPr>
            <w:tcW w:w="5125" w:type="dxa"/>
          </w:tcPr>
          <w:p w14:paraId="1685CF3F" w14:textId="74650F1F" w:rsidR="00720025" w:rsidRDefault="00720025" w:rsidP="00720025">
            <w:pPr>
              <w:tabs>
                <w:tab w:val="right" w:pos="5040"/>
              </w:tabs>
              <w:spacing w:after="240"/>
              <w:rPr>
                <w:color w:val="000000"/>
              </w:rPr>
            </w:pPr>
            <w:r>
              <w:rPr>
                <w:color w:val="000000"/>
              </w:rPr>
              <w:t>M</w:t>
            </w:r>
            <w:r w:rsidRPr="00720025">
              <w:rPr>
                <w:color w:val="000000"/>
              </w:rPr>
              <w:t>edical respite is a temporary setting for homeless individuals that will provide lower-intensity</w:t>
            </w:r>
            <w:r>
              <w:rPr>
                <w:color w:val="000000"/>
              </w:rPr>
              <w:t xml:space="preserve"> </w:t>
            </w:r>
            <w:r w:rsidRPr="00720025">
              <w:rPr>
                <w:color w:val="000000"/>
              </w:rPr>
              <w:t>care setting for individuals who would otherwise lack a safe option for discharge and recovery or would require a hospital stay.</w:t>
            </w:r>
          </w:p>
        </w:tc>
      </w:tr>
      <w:tr w:rsidR="00720025" w14:paraId="69FAC3B9" w14:textId="77777777" w:rsidTr="001065F3">
        <w:tc>
          <w:tcPr>
            <w:tcW w:w="1975" w:type="dxa"/>
          </w:tcPr>
          <w:p w14:paraId="0BB310DD" w14:textId="4A724932" w:rsidR="00720025" w:rsidRDefault="00720025" w:rsidP="00F37301">
            <w:pPr>
              <w:tabs>
                <w:tab w:val="right" w:pos="5040"/>
              </w:tabs>
              <w:spacing w:after="240"/>
              <w:rPr>
                <w:color w:val="000000"/>
              </w:rPr>
            </w:pPr>
            <w:r>
              <w:rPr>
                <w:color w:val="000000"/>
              </w:rPr>
              <w:t>Nutrition</w:t>
            </w:r>
          </w:p>
        </w:tc>
        <w:tc>
          <w:tcPr>
            <w:tcW w:w="2250" w:type="dxa"/>
          </w:tcPr>
          <w:p w14:paraId="6F9AA1FC" w14:textId="18F62E2E" w:rsidR="00720025" w:rsidRDefault="00720025" w:rsidP="00F37301">
            <w:pPr>
              <w:tabs>
                <w:tab w:val="right" w:pos="5040"/>
              </w:tabs>
              <w:spacing w:after="240"/>
              <w:rPr>
                <w:color w:val="000000"/>
              </w:rPr>
            </w:pPr>
            <w:r>
              <w:rPr>
                <w:color w:val="000000"/>
              </w:rPr>
              <w:t>Nutritional counseling and classes</w:t>
            </w:r>
          </w:p>
        </w:tc>
        <w:tc>
          <w:tcPr>
            <w:tcW w:w="5125" w:type="dxa"/>
          </w:tcPr>
          <w:p w14:paraId="1A452720" w14:textId="7502547B" w:rsidR="00720025" w:rsidRDefault="00CD26C6" w:rsidP="00CD26C6">
            <w:pPr>
              <w:tabs>
                <w:tab w:val="right" w:pos="5040"/>
              </w:tabs>
              <w:spacing w:after="240"/>
              <w:rPr>
                <w:color w:val="000000"/>
              </w:rPr>
            </w:pPr>
            <w:r w:rsidRPr="00CD26C6">
              <w:rPr>
                <w:color w:val="000000"/>
              </w:rPr>
              <w:t>Nutrition counseling and education, including on healthy meal preparation.</w:t>
            </w:r>
          </w:p>
        </w:tc>
      </w:tr>
      <w:tr w:rsidR="00720025" w14:paraId="63EF2B50" w14:textId="77777777" w:rsidTr="001065F3">
        <w:tc>
          <w:tcPr>
            <w:tcW w:w="1975" w:type="dxa"/>
          </w:tcPr>
          <w:p w14:paraId="1B895C20" w14:textId="12034DCE" w:rsidR="00720025" w:rsidRDefault="00CD26C6" w:rsidP="00F37301">
            <w:pPr>
              <w:tabs>
                <w:tab w:val="right" w:pos="5040"/>
              </w:tabs>
              <w:spacing w:after="240"/>
              <w:rPr>
                <w:color w:val="000000"/>
              </w:rPr>
            </w:pPr>
            <w:r>
              <w:rPr>
                <w:color w:val="000000"/>
              </w:rPr>
              <w:t>Nutrition</w:t>
            </w:r>
          </w:p>
        </w:tc>
        <w:tc>
          <w:tcPr>
            <w:tcW w:w="2250" w:type="dxa"/>
          </w:tcPr>
          <w:p w14:paraId="7F9FE913" w14:textId="149B970E" w:rsidR="00720025" w:rsidRDefault="00CD26C6" w:rsidP="00F37301">
            <w:pPr>
              <w:tabs>
                <w:tab w:val="right" w:pos="5040"/>
              </w:tabs>
              <w:spacing w:after="240"/>
              <w:rPr>
                <w:color w:val="000000"/>
              </w:rPr>
            </w:pPr>
            <w:r>
              <w:rPr>
                <w:color w:val="000000"/>
              </w:rPr>
              <w:t>Home delivered meal</w:t>
            </w:r>
          </w:p>
        </w:tc>
        <w:tc>
          <w:tcPr>
            <w:tcW w:w="5125" w:type="dxa"/>
          </w:tcPr>
          <w:p w14:paraId="34BD799C" w14:textId="5BF6C715" w:rsidR="00720025" w:rsidRDefault="00CD26C6" w:rsidP="00242E06">
            <w:pPr>
              <w:tabs>
                <w:tab w:val="right" w:pos="5040"/>
              </w:tabs>
              <w:spacing w:after="240"/>
              <w:rPr>
                <w:color w:val="000000"/>
              </w:rPr>
            </w:pPr>
            <w:r>
              <w:rPr>
                <w:color w:val="000000"/>
              </w:rPr>
              <w:t>Home delivered meals, up to 3 meals a day delivered in the home or private residence, for up to 6 months.</w:t>
            </w:r>
          </w:p>
        </w:tc>
      </w:tr>
      <w:tr w:rsidR="00720025" w14:paraId="2D506C33" w14:textId="77777777" w:rsidTr="001065F3">
        <w:tc>
          <w:tcPr>
            <w:tcW w:w="1975" w:type="dxa"/>
          </w:tcPr>
          <w:p w14:paraId="7968B0FB" w14:textId="560F5ACA" w:rsidR="00720025" w:rsidRDefault="00CD26C6" w:rsidP="00F37301">
            <w:pPr>
              <w:tabs>
                <w:tab w:val="right" w:pos="5040"/>
              </w:tabs>
              <w:spacing w:after="240"/>
              <w:rPr>
                <w:color w:val="000000"/>
              </w:rPr>
            </w:pPr>
            <w:r>
              <w:rPr>
                <w:color w:val="000000"/>
              </w:rPr>
              <w:t>Nutrition</w:t>
            </w:r>
          </w:p>
        </w:tc>
        <w:tc>
          <w:tcPr>
            <w:tcW w:w="2250" w:type="dxa"/>
          </w:tcPr>
          <w:p w14:paraId="405A8286" w14:textId="772445C8" w:rsidR="00720025" w:rsidRDefault="00CD26C6" w:rsidP="00F37301">
            <w:pPr>
              <w:tabs>
                <w:tab w:val="right" w:pos="5040"/>
              </w:tabs>
              <w:spacing w:after="240"/>
              <w:rPr>
                <w:color w:val="000000"/>
              </w:rPr>
            </w:pPr>
            <w:r>
              <w:rPr>
                <w:color w:val="000000"/>
              </w:rPr>
              <w:t>Medically tailored meal</w:t>
            </w:r>
          </w:p>
        </w:tc>
        <w:tc>
          <w:tcPr>
            <w:tcW w:w="5125" w:type="dxa"/>
          </w:tcPr>
          <w:p w14:paraId="6B4E1389" w14:textId="4E777726" w:rsidR="00720025" w:rsidRDefault="00CD26C6" w:rsidP="00242E06">
            <w:pPr>
              <w:tabs>
                <w:tab w:val="right" w:pos="5040"/>
              </w:tabs>
              <w:spacing w:after="240"/>
              <w:rPr>
                <w:color w:val="000000"/>
              </w:rPr>
            </w:pPr>
            <w:r>
              <w:rPr>
                <w:color w:val="000000"/>
              </w:rPr>
              <w:t xml:space="preserve">Up to 3 prepared meals a day, delivered to the home or private residence, for up to 6 months. Meals approved by a Registered Dietician Nutritionist. </w:t>
            </w:r>
          </w:p>
        </w:tc>
      </w:tr>
      <w:tr w:rsidR="00720025" w14:paraId="372011AF" w14:textId="77777777" w:rsidTr="001065F3">
        <w:tc>
          <w:tcPr>
            <w:tcW w:w="1975" w:type="dxa"/>
          </w:tcPr>
          <w:p w14:paraId="409EA23C" w14:textId="14DEEE28" w:rsidR="00720025" w:rsidRDefault="00CD26C6" w:rsidP="00F37301">
            <w:pPr>
              <w:tabs>
                <w:tab w:val="right" w:pos="5040"/>
              </w:tabs>
              <w:spacing w:after="240"/>
              <w:rPr>
                <w:color w:val="000000"/>
              </w:rPr>
            </w:pPr>
            <w:r>
              <w:rPr>
                <w:color w:val="000000"/>
              </w:rPr>
              <w:t>Nutrition</w:t>
            </w:r>
          </w:p>
        </w:tc>
        <w:tc>
          <w:tcPr>
            <w:tcW w:w="2250" w:type="dxa"/>
          </w:tcPr>
          <w:p w14:paraId="20C29EE3" w14:textId="5C304E36" w:rsidR="00720025" w:rsidRDefault="00CD26C6" w:rsidP="00F37301">
            <w:pPr>
              <w:tabs>
                <w:tab w:val="right" w:pos="5040"/>
              </w:tabs>
              <w:spacing w:after="240"/>
              <w:rPr>
                <w:color w:val="000000"/>
              </w:rPr>
            </w:pPr>
            <w:r>
              <w:rPr>
                <w:color w:val="000000"/>
              </w:rPr>
              <w:t>Fruit and vegetable prescription</w:t>
            </w:r>
          </w:p>
        </w:tc>
        <w:tc>
          <w:tcPr>
            <w:tcW w:w="5125" w:type="dxa"/>
          </w:tcPr>
          <w:p w14:paraId="65563444" w14:textId="026D6D41" w:rsidR="00720025" w:rsidRDefault="00CD26C6" w:rsidP="00CD26C6">
            <w:pPr>
              <w:tabs>
                <w:tab w:val="right" w:pos="5040"/>
              </w:tabs>
              <w:spacing w:after="240"/>
              <w:rPr>
                <w:color w:val="000000"/>
              </w:rPr>
            </w:pPr>
            <w:r w:rsidRPr="00CD26C6">
              <w:rPr>
                <w:color w:val="000000"/>
              </w:rPr>
              <w:t xml:space="preserve">Medically tailored or </w:t>
            </w:r>
            <w:proofErr w:type="gramStart"/>
            <w:r w:rsidRPr="00CD26C6">
              <w:rPr>
                <w:color w:val="000000"/>
              </w:rPr>
              <w:t>nutritionally-appropriate</w:t>
            </w:r>
            <w:proofErr w:type="gramEnd"/>
            <w:r w:rsidRPr="00CD26C6">
              <w:rPr>
                <w:color w:val="000000"/>
              </w:rPr>
              <w:t xml:space="preserve"> food prescriptions (e.g., fruit and vegetable prescriptions, protein box), delivered in various forms such as nutrition vouchers and food boxes, for up to 6 months.</w:t>
            </w:r>
          </w:p>
        </w:tc>
      </w:tr>
      <w:tr w:rsidR="00720025" w14:paraId="466370BE" w14:textId="77777777" w:rsidTr="001065F3">
        <w:tc>
          <w:tcPr>
            <w:tcW w:w="1975" w:type="dxa"/>
          </w:tcPr>
          <w:p w14:paraId="3DEA8B3D" w14:textId="1C47407A" w:rsidR="00720025" w:rsidRDefault="00CD26C6" w:rsidP="00F37301">
            <w:pPr>
              <w:tabs>
                <w:tab w:val="right" w:pos="5040"/>
              </w:tabs>
              <w:spacing w:after="240"/>
              <w:rPr>
                <w:color w:val="000000"/>
              </w:rPr>
            </w:pPr>
            <w:r>
              <w:rPr>
                <w:color w:val="000000"/>
              </w:rPr>
              <w:lastRenderedPageBreak/>
              <w:t>Nutrition</w:t>
            </w:r>
          </w:p>
        </w:tc>
        <w:tc>
          <w:tcPr>
            <w:tcW w:w="2250" w:type="dxa"/>
          </w:tcPr>
          <w:p w14:paraId="69EC72CF" w14:textId="725A736D" w:rsidR="00720025" w:rsidRDefault="00CD26C6" w:rsidP="00F37301">
            <w:pPr>
              <w:tabs>
                <w:tab w:val="right" w:pos="5040"/>
              </w:tabs>
              <w:spacing w:after="240"/>
              <w:rPr>
                <w:color w:val="000000"/>
              </w:rPr>
            </w:pPr>
            <w:r>
              <w:rPr>
                <w:color w:val="000000"/>
              </w:rPr>
              <w:t>Pantry stocking</w:t>
            </w:r>
          </w:p>
        </w:tc>
        <w:tc>
          <w:tcPr>
            <w:tcW w:w="5125" w:type="dxa"/>
          </w:tcPr>
          <w:p w14:paraId="2EFD4C43" w14:textId="228618D0" w:rsidR="00CD26C6" w:rsidRDefault="00CD26C6" w:rsidP="00242E06">
            <w:pPr>
              <w:tabs>
                <w:tab w:val="right" w:pos="5040"/>
              </w:tabs>
              <w:spacing w:after="240"/>
              <w:rPr>
                <w:color w:val="000000"/>
              </w:rPr>
            </w:pPr>
            <w:r>
              <w:rPr>
                <w:color w:val="000000"/>
              </w:rPr>
              <w:t xml:space="preserve">Pantry stocking, fresh </w:t>
            </w:r>
            <w:proofErr w:type="gramStart"/>
            <w:r>
              <w:rPr>
                <w:color w:val="000000"/>
              </w:rPr>
              <w:t>produce</w:t>
            </w:r>
            <w:proofErr w:type="gramEnd"/>
            <w:r>
              <w:rPr>
                <w:color w:val="000000"/>
              </w:rPr>
              <w:t xml:space="preserve"> and nonperishable groceries for up to 6 months. For children and Pre/ Postpartum populations.</w:t>
            </w:r>
          </w:p>
        </w:tc>
      </w:tr>
      <w:tr w:rsidR="00CD26C6" w14:paraId="72E6FD08" w14:textId="77777777" w:rsidTr="001065F3">
        <w:tc>
          <w:tcPr>
            <w:tcW w:w="1975" w:type="dxa"/>
          </w:tcPr>
          <w:p w14:paraId="0FFA613D" w14:textId="73C79671" w:rsidR="00CD26C6" w:rsidRDefault="00CD26C6" w:rsidP="00F37301">
            <w:pPr>
              <w:tabs>
                <w:tab w:val="right" w:pos="5040"/>
              </w:tabs>
              <w:spacing w:after="240"/>
              <w:rPr>
                <w:color w:val="000000"/>
              </w:rPr>
            </w:pPr>
            <w:r>
              <w:rPr>
                <w:color w:val="000000"/>
              </w:rPr>
              <w:t>Nutrition</w:t>
            </w:r>
          </w:p>
        </w:tc>
        <w:tc>
          <w:tcPr>
            <w:tcW w:w="2250" w:type="dxa"/>
          </w:tcPr>
          <w:p w14:paraId="137125A6" w14:textId="38231CFF" w:rsidR="00CD26C6" w:rsidRDefault="00CD26C6" w:rsidP="00F37301">
            <w:pPr>
              <w:tabs>
                <w:tab w:val="right" w:pos="5040"/>
              </w:tabs>
              <w:spacing w:after="240"/>
              <w:rPr>
                <w:color w:val="000000"/>
              </w:rPr>
            </w:pPr>
            <w:r>
              <w:rPr>
                <w:color w:val="000000"/>
              </w:rPr>
              <w:t>Cooking supplies</w:t>
            </w:r>
          </w:p>
        </w:tc>
        <w:tc>
          <w:tcPr>
            <w:tcW w:w="5125" w:type="dxa"/>
          </w:tcPr>
          <w:p w14:paraId="76BE0587" w14:textId="4E183C9A" w:rsidR="00CD26C6" w:rsidRDefault="00CD26C6" w:rsidP="00242E06">
            <w:pPr>
              <w:tabs>
                <w:tab w:val="right" w:pos="5040"/>
              </w:tabs>
              <w:spacing w:after="240"/>
              <w:rPr>
                <w:color w:val="000000"/>
              </w:rPr>
            </w:pPr>
            <w:r>
              <w:rPr>
                <w:color w:val="000000"/>
              </w:rPr>
              <w:t xml:space="preserve">Cooking supplies that are necessary for meal preparation and nutritional welfare of a beneficiary when not available through other programs (e.g., pots and pans, utensils, microwave, refrigerator). </w:t>
            </w:r>
          </w:p>
        </w:tc>
      </w:tr>
      <w:tr w:rsidR="00CD26C6" w14:paraId="18ECB65E" w14:textId="77777777" w:rsidTr="001065F3">
        <w:tc>
          <w:tcPr>
            <w:tcW w:w="1975" w:type="dxa"/>
          </w:tcPr>
          <w:p w14:paraId="27598902" w14:textId="7200C705" w:rsidR="00CD26C6" w:rsidRDefault="00CD26C6" w:rsidP="00F37301">
            <w:pPr>
              <w:tabs>
                <w:tab w:val="right" w:pos="5040"/>
              </w:tabs>
              <w:spacing w:after="240"/>
              <w:rPr>
                <w:color w:val="000000"/>
              </w:rPr>
            </w:pPr>
            <w:r>
              <w:rPr>
                <w:color w:val="000000"/>
              </w:rPr>
              <w:t>Transportation</w:t>
            </w:r>
          </w:p>
        </w:tc>
        <w:tc>
          <w:tcPr>
            <w:tcW w:w="2250" w:type="dxa"/>
          </w:tcPr>
          <w:p w14:paraId="30E9D324" w14:textId="250847D9" w:rsidR="00CD26C6" w:rsidRDefault="00CD26C6" w:rsidP="00F37301">
            <w:pPr>
              <w:tabs>
                <w:tab w:val="right" w:pos="5040"/>
              </w:tabs>
              <w:spacing w:after="240"/>
              <w:rPr>
                <w:color w:val="000000"/>
              </w:rPr>
            </w:pPr>
            <w:r>
              <w:rPr>
                <w:color w:val="000000"/>
              </w:rPr>
              <w:t>HRSN public and private transportation</w:t>
            </w:r>
          </w:p>
        </w:tc>
        <w:tc>
          <w:tcPr>
            <w:tcW w:w="5125" w:type="dxa"/>
          </w:tcPr>
          <w:p w14:paraId="1555D583" w14:textId="22C5CAC7" w:rsidR="00CD26C6" w:rsidRDefault="00CD26C6" w:rsidP="00242E06">
            <w:pPr>
              <w:tabs>
                <w:tab w:val="right" w:pos="5040"/>
              </w:tabs>
              <w:spacing w:after="240"/>
              <w:rPr>
                <w:color w:val="000000"/>
              </w:rPr>
            </w:pPr>
            <w:r>
              <w:rPr>
                <w:color w:val="000000"/>
              </w:rPr>
              <w:t xml:space="preserve">Reimbursement for HRSN public and private transportation to connect to HRSN services and HRSN case management activities listed above. </w:t>
            </w:r>
          </w:p>
        </w:tc>
      </w:tr>
    </w:tbl>
    <w:p w14:paraId="3F4F48A4" w14:textId="173CEBB4" w:rsidR="006E3026" w:rsidRDefault="006E3026" w:rsidP="006E3026">
      <w:pPr>
        <w:pBdr>
          <w:top w:val="nil"/>
          <w:left w:val="nil"/>
          <w:bottom w:val="nil"/>
          <w:right w:val="nil"/>
          <w:between w:val="nil"/>
        </w:pBdr>
        <w:tabs>
          <w:tab w:val="right" w:pos="5040"/>
        </w:tabs>
        <w:spacing w:after="240"/>
        <w:jc w:val="center"/>
        <w:rPr>
          <w:color w:val="000000"/>
        </w:rPr>
      </w:pPr>
    </w:p>
    <w:p w14:paraId="172B0BB8" w14:textId="37AD6CFD" w:rsidR="00CD26C6" w:rsidRPr="006E3026" w:rsidRDefault="00CD26C6" w:rsidP="00CD26C6">
      <w:pPr>
        <w:pBdr>
          <w:top w:val="nil"/>
          <w:left w:val="nil"/>
          <w:bottom w:val="nil"/>
          <w:right w:val="nil"/>
          <w:between w:val="nil"/>
        </w:pBdr>
        <w:tabs>
          <w:tab w:val="right" w:pos="5040"/>
        </w:tabs>
        <w:spacing w:after="240"/>
        <w:rPr>
          <w:color w:val="000000"/>
        </w:rPr>
      </w:pPr>
    </w:p>
    <w:sectPr w:rsidR="00CD26C6" w:rsidRPr="006E3026" w:rsidSect="00987FA0">
      <w:headerReference w:type="even" r:id="rId8"/>
      <w:headerReference w:type="default" r:id="rId9"/>
      <w:footerReference w:type="default" r:id="rId10"/>
      <w:headerReference w:type="first" r:id="rId11"/>
      <w:pgSz w:w="12240" w:h="15840"/>
      <w:pgMar w:top="900" w:right="1440" w:bottom="108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ED0B3" w14:textId="77777777" w:rsidR="00191106" w:rsidRDefault="00191106">
      <w:r>
        <w:separator/>
      </w:r>
    </w:p>
  </w:endnote>
  <w:endnote w:type="continuationSeparator" w:id="0">
    <w:p w14:paraId="3C80979A" w14:textId="77777777" w:rsidR="00191106" w:rsidRDefault="00191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778546"/>
      <w:docPartObj>
        <w:docPartGallery w:val="Page Numbers (Bottom of Page)"/>
        <w:docPartUnique/>
      </w:docPartObj>
    </w:sdtPr>
    <w:sdtEndPr>
      <w:rPr>
        <w:noProof/>
      </w:rPr>
    </w:sdtEndPr>
    <w:sdtContent>
      <w:p w14:paraId="1148186C" w14:textId="732F9FFB" w:rsidR="00575DC1" w:rsidRDefault="00575D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29AE1A" w14:textId="77777777" w:rsidR="00575DC1" w:rsidRDefault="00575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167D8" w14:textId="77777777" w:rsidR="00191106" w:rsidRDefault="00191106">
      <w:r>
        <w:separator/>
      </w:r>
    </w:p>
  </w:footnote>
  <w:footnote w:type="continuationSeparator" w:id="0">
    <w:p w14:paraId="60FA0191" w14:textId="77777777" w:rsidR="00191106" w:rsidRDefault="00191106">
      <w:r>
        <w:continuationSeparator/>
      </w:r>
    </w:p>
  </w:footnote>
  <w:footnote w:id="1">
    <w:p w14:paraId="45F44246" w14:textId="65BA8381" w:rsidR="006E3026" w:rsidRPr="006E3026" w:rsidRDefault="008A3FD8">
      <w:pPr>
        <w:pStyle w:val="FootnoteText"/>
      </w:pPr>
      <w:r>
        <w:rPr>
          <w:rStyle w:val="FootnoteReference"/>
        </w:rPr>
        <w:footnoteRef/>
      </w:r>
      <w:r>
        <w:t xml:space="preserve"> </w:t>
      </w:r>
      <w:r w:rsidR="006E3026">
        <w:rPr>
          <w:i/>
          <w:iCs/>
        </w:rPr>
        <w:t xml:space="preserve">See </w:t>
      </w:r>
      <w:r w:rsidR="006E3026" w:rsidRPr="006E3026">
        <w:rPr>
          <w:i/>
          <w:iCs/>
        </w:rPr>
        <w:t>Request for Applications</w:t>
      </w:r>
      <w:r w:rsidR="006E3026">
        <w:t xml:space="preserve">, </w:t>
      </w:r>
      <w:r w:rsidR="006E3026">
        <w:rPr>
          <w:i/>
          <w:iCs/>
        </w:rPr>
        <w:t xml:space="preserve">supra </w:t>
      </w:r>
      <w:r w:rsidR="006E3026">
        <w:t xml:space="preserve">note </w:t>
      </w:r>
      <w:r w:rsidR="006E3026">
        <w:fldChar w:fldCharType="begin"/>
      </w:r>
      <w:r w:rsidR="006E3026">
        <w:instrText xml:space="preserve"> NOTEREF _Ref158228311 \h </w:instrText>
      </w:r>
      <w:r w:rsidR="006E3026">
        <w:fldChar w:fldCharType="separate"/>
      </w:r>
      <w:r w:rsidR="001065F3">
        <w:t>2</w:t>
      </w:r>
      <w:r w:rsidR="006E3026">
        <w:fldChar w:fldCharType="end"/>
      </w:r>
      <w:r w:rsidR="006E3026">
        <w:t>.</w:t>
      </w:r>
    </w:p>
  </w:footnote>
  <w:footnote w:id="2">
    <w:p w14:paraId="6E7123A4" w14:textId="568BE1DD" w:rsidR="00F37301" w:rsidRPr="00F37301" w:rsidRDefault="00F37301">
      <w:pPr>
        <w:pStyle w:val="FootnoteText"/>
      </w:pPr>
      <w:r>
        <w:rPr>
          <w:rStyle w:val="FootnoteReference"/>
        </w:rPr>
        <w:footnoteRef/>
      </w:r>
      <w:r>
        <w:t xml:space="preserve"> </w:t>
      </w:r>
      <w:r>
        <w:rPr>
          <w:i/>
          <w:iCs/>
        </w:rPr>
        <w:t>See Accountable Health Communities Model</w:t>
      </w:r>
      <w:r w:rsidR="001065F3">
        <w:rPr>
          <w:i/>
          <w:iCs/>
        </w:rPr>
        <w:t xml:space="preserve">, </w:t>
      </w:r>
      <w:proofErr w:type="spellStart"/>
      <w:r w:rsidR="001065F3">
        <w:rPr>
          <w:smallCaps/>
        </w:rPr>
        <w:t>Ctrs</w:t>
      </w:r>
      <w:proofErr w:type="spellEnd"/>
      <w:r w:rsidR="001065F3">
        <w:rPr>
          <w:smallCaps/>
        </w:rPr>
        <w:t>. for Medicare &amp; and Medicaid Servs.</w:t>
      </w:r>
      <w:r>
        <w:rPr>
          <w:i/>
          <w:iCs/>
        </w:rPr>
        <w:t>,</w:t>
      </w:r>
      <w:r>
        <w:t xml:space="preserve"> </w:t>
      </w:r>
      <w:hyperlink r:id="rId1" w:history="1">
        <w:r w:rsidRPr="00171353">
          <w:rPr>
            <w:rStyle w:val="Hyperlink"/>
          </w:rPr>
          <w:t>https://www.cms.gov/priorities/innovation/innovation-models/ahcm</w:t>
        </w:r>
      </w:hyperlink>
      <w:r w:rsidR="001065F3">
        <w:t xml:space="preserve"> (last visited Feb. 7, 2024)</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E26A" w14:textId="77777777" w:rsidR="00F53014" w:rsidRDefault="00F53014">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6677" w14:textId="77777777" w:rsidR="00F53014" w:rsidRDefault="00F53014">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5FE36" w14:textId="77777777" w:rsidR="00F53014" w:rsidRDefault="00F53014">
    <w:pPr>
      <w:pBdr>
        <w:top w:val="nil"/>
        <w:left w:val="nil"/>
        <w:bottom w:val="nil"/>
        <w:right w:val="nil"/>
        <w:between w:val="nil"/>
      </w:pBdr>
      <w:tabs>
        <w:tab w:val="center" w:pos="4680"/>
        <w:tab w:val="right" w:pos="9360"/>
      </w:tabs>
    </w:pPr>
  </w:p>
  <w:tbl>
    <w:tblPr>
      <w:tblStyle w:val="aa"/>
      <w:tblW w:w="9744"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52"/>
      <w:gridCol w:w="4892"/>
    </w:tblGrid>
    <w:tr w:rsidR="00F53014" w:rsidRPr="00730713" w14:paraId="32D021DD" w14:textId="77777777" w:rsidTr="00987FA0">
      <w:trPr>
        <w:trHeight w:val="287"/>
      </w:trPr>
      <w:tc>
        <w:tcPr>
          <w:tcW w:w="485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6763283" w14:textId="6CFFA417" w:rsidR="00F53014" w:rsidRDefault="00F53014"/>
      </w:tc>
      <w:tc>
        <w:tcPr>
          <w:tcW w:w="489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9920B81" w14:textId="073E23AF" w:rsidR="00730713" w:rsidRPr="00730713" w:rsidRDefault="00730713" w:rsidP="00B4367C">
          <w:pPr>
            <w:tabs>
              <w:tab w:val="center" w:pos="4680"/>
              <w:tab w:val="right" w:pos="9360"/>
            </w:tabs>
            <w:jc w:val="right"/>
            <w:rPr>
              <w:b/>
              <w:bCs/>
              <w:i/>
              <w:iCs/>
            </w:rPr>
          </w:pPr>
        </w:p>
      </w:tc>
    </w:tr>
  </w:tbl>
  <w:p w14:paraId="75AFF87E" w14:textId="37A98DD8" w:rsidR="00F53014" w:rsidRDefault="00F53014">
    <w:pPr>
      <w:pBdr>
        <w:top w:val="nil"/>
        <w:left w:val="nil"/>
        <w:bottom w:val="nil"/>
        <w:right w:val="nil"/>
        <w:between w:val="nil"/>
      </w:pBd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E661C"/>
    <w:multiLevelType w:val="hybridMultilevel"/>
    <w:tmpl w:val="6F4063B8"/>
    <w:lvl w:ilvl="0" w:tplc="E0E44E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FD0B43"/>
    <w:multiLevelType w:val="hybridMultilevel"/>
    <w:tmpl w:val="FDCADC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6865948">
    <w:abstractNumId w:val="1"/>
  </w:num>
  <w:num w:numId="2" w16cid:durableId="415057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014"/>
    <w:rsid w:val="000164AC"/>
    <w:rsid w:val="00062E6F"/>
    <w:rsid w:val="000D0D30"/>
    <w:rsid w:val="001065F3"/>
    <w:rsid w:val="00125C81"/>
    <w:rsid w:val="001517C1"/>
    <w:rsid w:val="00191106"/>
    <w:rsid w:val="00205D8A"/>
    <w:rsid w:val="00206F85"/>
    <w:rsid w:val="002277FC"/>
    <w:rsid w:val="00236E3A"/>
    <w:rsid w:val="00242E06"/>
    <w:rsid w:val="00255C66"/>
    <w:rsid w:val="002622D7"/>
    <w:rsid w:val="002973DB"/>
    <w:rsid w:val="002B25AE"/>
    <w:rsid w:val="002D689A"/>
    <w:rsid w:val="002E272C"/>
    <w:rsid w:val="003000AB"/>
    <w:rsid w:val="00317FD8"/>
    <w:rsid w:val="00386249"/>
    <w:rsid w:val="003926FF"/>
    <w:rsid w:val="003A1402"/>
    <w:rsid w:val="003D55CF"/>
    <w:rsid w:val="004206DA"/>
    <w:rsid w:val="00424C8F"/>
    <w:rsid w:val="00434479"/>
    <w:rsid w:val="00437854"/>
    <w:rsid w:val="00453C02"/>
    <w:rsid w:val="00454C1A"/>
    <w:rsid w:val="00463EA5"/>
    <w:rsid w:val="004A34D0"/>
    <w:rsid w:val="004B5FCA"/>
    <w:rsid w:val="004E267C"/>
    <w:rsid w:val="004E590B"/>
    <w:rsid w:val="00507281"/>
    <w:rsid w:val="00516650"/>
    <w:rsid w:val="00521088"/>
    <w:rsid w:val="00533C59"/>
    <w:rsid w:val="00551FB7"/>
    <w:rsid w:val="00560C9F"/>
    <w:rsid w:val="00575DC1"/>
    <w:rsid w:val="005D3935"/>
    <w:rsid w:val="00617E9C"/>
    <w:rsid w:val="00631269"/>
    <w:rsid w:val="006C29EC"/>
    <w:rsid w:val="006D6431"/>
    <w:rsid w:val="006D6720"/>
    <w:rsid w:val="006E3026"/>
    <w:rsid w:val="00706AEE"/>
    <w:rsid w:val="00720025"/>
    <w:rsid w:val="00730713"/>
    <w:rsid w:val="00742427"/>
    <w:rsid w:val="00743917"/>
    <w:rsid w:val="00800760"/>
    <w:rsid w:val="00802ECA"/>
    <w:rsid w:val="00803C2B"/>
    <w:rsid w:val="00880438"/>
    <w:rsid w:val="00881223"/>
    <w:rsid w:val="008951CA"/>
    <w:rsid w:val="008A3FD8"/>
    <w:rsid w:val="00930D01"/>
    <w:rsid w:val="009400E9"/>
    <w:rsid w:val="0095740F"/>
    <w:rsid w:val="00986864"/>
    <w:rsid w:val="00987FA0"/>
    <w:rsid w:val="00992639"/>
    <w:rsid w:val="009F1EEB"/>
    <w:rsid w:val="00A165E1"/>
    <w:rsid w:val="00A22B41"/>
    <w:rsid w:val="00AF1BC8"/>
    <w:rsid w:val="00AF5563"/>
    <w:rsid w:val="00B31AD1"/>
    <w:rsid w:val="00B4367C"/>
    <w:rsid w:val="00B47EA8"/>
    <w:rsid w:val="00B52689"/>
    <w:rsid w:val="00B85B0A"/>
    <w:rsid w:val="00BE0FBB"/>
    <w:rsid w:val="00BE1807"/>
    <w:rsid w:val="00C039A0"/>
    <w:rsid w:val="00C259F1"/>
    <w:rsid w:val="00C84B9C"/>
    <w:rsid w:val="00C92A1A"/>
    <w:rsid w:val="00CD26C6"/>
    <w:rsid w:val="00CF6240"/>
    <w:rsid w:val="00D019CA"/>
    <w:rsid w:val="00D34E65"/>
    <w:rsid w:val="00D440C2"/>
    <w:rsid w:val="00D53F09"/>
    <w:rsid w:val="00D820DF"/>
    <w:rsid w:val="00D84917"/>
    <w:rsid w:val="00D875FB"/>
    <w:rsid w:val="00DB1417"/>
    <w:rsid w:val="00DD11F0"/>
    <w:rsid w:val="00DF2155"/>
    <w:rsid w:val="00E06F9A"/>
    <w:rsid w:val="00E1032D"/>
    <w:rsid w:val="00E1244B"/>
    <w:rsid w:val="00E1428E"/>
    <w:rsid w:val="00E27949"/>
    <w:rsid w:val="00E800EB"/>
    <w:rsid w:val="00EA1D76"/>
    <w:rsid w:val="00EE4220"/>
    <w:rsid w:val="00EE561C"/>
    <w:rsid w:val="00F27D1B"/>
    <w:rsid w:val="00F319A1"/>
    <w:rsid w:val="00F34B49"/>
    <w:rsid w:val="00F37301"/>
    <w:rsid w:val="00F510DA"/>
    <w:rsid w:val="00F53014"/>
    <w:rsid w:val="00F54D01"/>
    <w:rsid w:val="00F6312F"/>
    <w:rsid w:val="00FD0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65584"/>
  <w15:docId w15:val="{B486A4AA-BC78-624A-A5CA-A8902AFD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Calibri" w:eastAsia="Calibri" w:hAnsi="Calibri" w:cs="Calibri"/>
      <w:color w:val="2E75B5"/>
      <w:sz w:val="32"/>
      <w:szCs w:val="32"/>
    </w:rPr>
  </w:style>
  <w:style w:type="paragraph" w:styleId="Heading2">
    <w:name w:val="heading 2"/>
    <w:basedOn w:val="Normal"/>
    <w:next w:val="Normal"/>
    <w:uiPriority w:val="9"/>
    <w:semiHidden/>
    <w:unhideWhenUsed/>
    <w:qFormat/>
    <w:pPr>
      <w:keepNext/>
      <w:keepLines/>
      <w:spacing w:before="40"/>
      <w:outlineLvl w:val="1"/>
    </w:pPr>
    <w:rPr>
      <w:rFonts w:ascii="Calibri" w:eastAsia="Calibri" w:hAnsi="Calibri" w:cs="Calibri"/>
      <w:color w:val="2E75B5"/>
      <w:sz w:val="26"/>
      <w:szCs w:val="26"/>
    </w:rPr>
  </w:style>
  <w:style w:type="paragraph" w:styleId="Heading3">
    <w:name w:val="heading 3"/>
    <w:basedOn w:val="Normal"/>
    <w:next w:val="Normal"/>
    <w:uiPriority w:val="9"/>
    <w:semiHidden/>
    <w:unhideWhenUsed/>
    <w:qFormat/>
    <w:pPr>
      <w:keepNext/>
      <w:keepLines/>
      <w:spacing w:before="40"/>
      <w:outlineLvl w:val="2"/>
    </w:pPr>
    <w:rPr>
      <w:rFonts w:ascii="Calibri" w:eastAsia="Calibri" w:hAnsi="Calibri" w:cs="Calibri"/>
      <w:color w:val="1E4D78"/>
    </w:rPr>
  </w:style>
  <w:style w:type="paragraph" w:styleId="Heading4">
    <w:name w:val="heading 4"/>
    <w:basedOn w:val="Normal"/>
    <w:next w:val="Normal"/>
    <w:uiPriority w:val="9"/>
    <w:semiHidden/>
    <w:unhideWhenUsed/>
    <w:qFormat/>
    <w:pPr>
      <w:keepNext/>
      <w:keepLines/>
      <w:spacing w:before="40"/>
      <w:outlineLvl w:val="3"/>
    </w:pPr>
    <w:rPr>
      <w:rFonts w:ascii="Calibri" w:eastAsia="Calibri" w:hAnsi="Calibri" w:cs="Calibri"/>
      <w:i/>
      <w:color w:val="2E75B5"/>
    </w:rPr>
  </w:style>
  <w:style w:type="paragraph" w:styleId="Heading5">
    <w:name w:val="heading 5"/>
    <w:basedOn w:val="Normal"/>
    <w:next w:val="Normal"/>
    <w:uiPriority w:val="9"/>
    <w:semiHidden/>
    <w:unhideWhenUsed/>
    <w:qFormat/>
    <w:pPr>
      <w:keepNext/>
      <w:keepLines/>
      <w:spacing w:before="40"/>
      <w:outlineLvl w:val="4"/>
    </w:pPr>
    <w:rPr>
      <w:rFonts w:ascii="Calibri" w:eastAsia="Calibri" w:hAnsi="Calibri" w:cs="Calibri"/>
      <w:color w:val="2E75B5"/>
    </w:rPr>
  </w:style>
  <w:style w:type="paragraph" w:styleId="Heading6">
    <w:name w:val="heading 6"/>
    <w:basedOn w:val="Normal"/>
    <w:next w:val="Normal"/>
    <w:uiPriority w:val="9"/>
    <w:semiHidden/>
    <w:unhideWhenUsed/>
    <w:qFormat/>
    <w:pPr>
      <w:keepNext/>
      <w:keepLines/>
      <w:spacing w:before="40"/>
      <w:ind w:left="3600"/>
      <w:outlineLvl w:val="5"/>
    </w:pPr>
    <w:rPr>
      <w:rFonts w:ascii="Calibri" w:eastAsia="Calibri" w:hAnsi="Calibri" w:cs="Calibri"/>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Calibri" w:eastAsia="Calibri" w:hAnsi="Calibri" w:cs="Calibri"/>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B52689"/>
    <w:rPr>
      <w:sz w:val="16"/>
      <w:szCs w:val="16"/>
    </w:rPr>
  </w:style>
  <w:style w:type="paragraph" w:styleId="CommentText">
    <w:name w:val="annotation text"/>
    <w:basedOn w:val="Normal"/>
    <w:link w:val="CommentTextChar"/>
    <w:uiPriority w:val="99"/>
    <w:unhideWhenUsed/>
    <w:rsid w:val="00B52689"/>
    <w:rPr>
      <w:sz w:val="20"/>
      <w:szCs w:val="20"/>
    </w:rPr>
  </w:style>
  <w:style w:type="character" w:customStyle="1" w:styleId="CommentTextChar">
    <w:name w:val="Comment Text Char"/>
    <w:basedOn w:val="DefaultParagraphFont"/>
    <w:link w:val="CommentText"/>
    <w:uiPriority w:val="99"/>
    <w:rsid w:val="00B52689"/>
    <w:rPr>
      <w:sz w:val="20"/>
      <w:szCs w:val="20"/>
    </w:rPr>
  </w:style>
  <w:style w:type="paragraph" w:styleId="CommentSubject">
    <w:name w:val="annotation subject"/>
    <w:basedOn w:val="CommentText"/>
    <w:next w:val="CommentText"/>
    <w:link w:val="CommentSubjectChar"/>
    <w:uiPriority w:val="99"/>
    <w:semiHidden/>
    <w:unhideWhenUsed/>
    <w:rsid w:val="00B52689"/>
    <w:rPr>
      <w:b/>
      <w:bCs/>
    </w:rPr>
  </w:style>
  <w:style w:type="character" w:customStyle="1" w:styleId="CommentSubjectChar">
    <w:name w:val="Comment Subject Char"/>
    <w:basedOn w:val="CommentTextChar"/>
    <w:link w:val="CommentSubject"/>
    <w:uiPriority w:val="99"/>
    <w:semiHidden/>
    <w:rsid w:val="00B52689"/>
    <w:rPr>
      <w:b/>
      <w:bCs/>
      <w:sz w:val="20"/>
      <w:szCs w:val="20"/>
    </w:rPr>
  </w:style>
  <w:style w:type="paragraph" w:styleId="BalloonText">
    <w:name w:val="Balloon Text"/>
    <w:basedOn w:val="Normal"/>
    <w:link w:val="BalloonTextChar"/>
    <w:uiPriority w:val="99"/>
    <w:semiHidden/>
    <w:unhideWhenUsed/>
    <w:rsid w:val="00B52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689"/>
    <w:rPr>
      <w:rFonts w:ascii="Segoe UI" w:hAnsi="Segoe UI" w:cs="Segoe UI"/>
      <w:sz w:val="18"/>
      <w:szCs w:val="18"/>
    </w:rPr>
  </w:style>
  <w:style w:type="paragraph" w:styleId="Revision">
    <w:name w:val="Revision"/>
    <w:hidden/>
    <w:uiPriority w:val="99"/>
    <w:semiHidden/>
    <w:rsid w:val="00F34B49"/>
  </w:style>
  <w:style w:type="paragraph" w:styleId="FootnoteText">
    <w:name w:val="footnote text"/>
    <w:basedOn w:val="Normal"/>
    <w:link w:val="FootnoteTextChar"/>
    <w:uiPriority w:val="99"/>
    <w:semiHidden/>
    <w:unhideWhenUsed/>
    <w:rsid w:val="00E27949"/>
    <w:rPr>
      <w:sz w:val="20"/>
      <w:szCs w:val="20"/>
    </w:rPr>
  </w:style>
  <w:style w:type="character" w:customStyle="1" w:styleId="FootnoteTextChar">
    <w:name w:val="Footnote Text Char"/>
    <w:basedOn w:val="DefaultParagraphFont"/>
    <w:link w:val="FootnoteText"/>
    <w:uiPriority w:val="99"/>
    <w:semiHidden/>
    <w:rsid w:val="00E27949"/>
    <w:rPr>
      <w:sz w:val="20"/>
      <w:szCs w:val="20"/>
    </w:rPr>
  </w:style>
  <w:style w:type="character" w:styleId="FootnoteReference">
    <w:name w:val="footnote reference"/>
    <w:basedOn w:val="DefaultParagraphFont"/>
    <w:uiPriority w:val="99"/>
    <w:semiHidden/>
    <w:unhideWhenUsed/>
    <w:rsid w:val="00E27949"/>
    <w:rPr>
      <w:vertAlign w:val="superscript"/>
    </w:rPr>
  </w:style>
  <w:style w:type="paragraph" w:styleId="Footer">
    <w:name w:val="footer"/>
    <w:basedOn w:val="Normal"/>
    <w:link w:val="FooterChar"/>
    <w:uiPriority w:val="99"/>
    <w:unhideWhenUsed/>
    <w:rsid w:val="00800760"/>
    <w:pPr>
      <w:tabs>
        <w:tab w:val="center" w:pos="4680"/>
        <w:tab w:val="right" w:pos="9360"/>
      </w:tabs>
    </w:pPr>
  </w:style>
  <w:style w:type="character" w:customStyle="1" w:styleId="FooterChar">
    <w:name w:val="Footer Char"/>
    <w:basedOn w:val="DefaultParagraphFont"/>
    <w:link w:val="Footer"/>
    <w:uiPriority w:val="99"/>
    <w:rsid w:val="00800760"/>
  </w:style>
  <w:style w:type="character" w:styleId="Hyperlink">
    <w:name w:val="Hyperlink"/>
    <w:basedOn w:val="DefaultParagraphFont"/>
    <w:uiPriority w:val="99"/>
    <w:unhideWhenUsed/>
    <w:rsid w:val="00F6312F"/>
    <w:rPr>
      <w:color w:val="0000FF" w:themeColor="hyperlink"/>
      <w:u w:val="single"/>
    </w:rPr>
  </w:style>
  <w:style w:type="character" w:styleId="UnresolvedMention">
    <w:name w:val="Unresolved Mention"/>
    <w:basedOn w:val="DefaultParagraphFont"/>
    <w:uiPriority w:val="99"/>
    <w:semiHidden/>
    <w:unhideWhenUsed/>
    <w:rsid w:val="00F6312F"/>
    <w:rPr>
      <w:color w:val="605E5C"/>
      <w:shd w:val="clear" w:color="auto" w:fill="E1DFDD"/>
    </w:rPr>
  </w:style>
  <w:style w:type="paragraph" w:styleId="ListParagraph">
    <w:name w:val="List Paragraph"/>
    <w:basedOn w:val="Normal"/>
    <w:uiPriority w:val="34"/>
    <w:qFormat/>
    <w:rsid w:val="004A34D0"/>
    <w:pPr>
      <w:ind w:left="720"/>
      <w:contextualSpacing/>
    </w:pPr>
  </w:style>
  <w:style w:type="table" w:styleId="TableGrid">
    <w:name w:val="Table Grid"/>
    <w:basedOn w:val="TableNormal"/>
    <w:uiPriority w:val="39"/>
    <w:rsid w:val="006E3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75D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594786">
      <w:bodyDiv w:val="1"/>
      <w:marLeft w:val="0"/>
      <w:marRight w:val="0"/>
      <w:marTop w:val="0"/>
      <w:marBottom w:val="0"/>
      <w:divBdr>
        <w:top w:val="none" w:sz="0" w:space="0" w:color="auto"/>
        <w:left w:val="none" w:sz="0" w:space="0" w:color="auto"/>
        <w:bottom w:val="none" w:sz="0" w:space="0" w:color="auto"/>
        <w:right w:val="none" w:sz="0" w:space="0" w:color="auto"/>
      </w:divBdr>
    </w:div>
    <w:div w:id="1676542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cms.gov/priorities/innovation/innovation-models/ah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Meghann Hardesty</dc:creator>
  <cp:lastModifiedBy>Meghann Hardesty</cp:lastModifiedBy>
  <cp:revision>2</cp:revision>
  <cp:lastPrinted>1900-01-01T05:00:00Z</cp:lastPrinted>
  <dcterms:created xsi:type="dcterms:W3CDTF">2024-02-26T22:05:00Z</dcterms:created>
  <dcterms:modified xsi:type="dcterms:W3CDTF">2024-02-26T22:05:00Z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GMatter">
    <vt:lpwstr>118864-0001</vt:lpwstr>
  </property>
</Properties>
</file>