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D3284" w14:textId="77777777" w:rsidR="002A41D4" w:rsidRDefault="00000000">
      <w:pPr>
        <w:pStyle w:val="PacketTitle"/>
        <w:jc w:val="center"/>
      </w:pPr>
      <w:r>
        <w:t>ASCENSION &amp; ASSOCIATES LLC</w:t>
      </w:r>
    </w:p>
    <w:p>
      <w:r>
        <w:t>Phone: 980-535-5853 | ascensionandassociatesllc.com</w:t>
      </w:r>
    </w:p>
    <w:p>
      <w:r>
        <w:t>3726 Glenwood Dr, Charlotte, NC 28208</w:t>
      </w:r>
    </w:p>
    <w:p>
      <w:r>
        <w:t>MC#: 1798115 | DOT#: 4532332</w:t>
      </w:r>
    </w:p>
    <w:p w14:paraId="3477E545" w14:textId="77777777" w:rsidR="002A41D4" w:rsidRDefault="00000000">
      <w:pPr>
        <w:pStyle w:val="SectionHead"/>
        <w:jc w:val="center"/>
      </w:pPr>
      <w:r>
        <w:t>Carrier Setup Packet &amp; Broker-Carrier Agreement</w:t>
      </w:r>
    </w:p>
    <w:p w14:paraId="76A35072" w14:textId="77777777" w:rsidR="002A41D4" w:rsidRDefault="00000000">
      <w:pPr>
        <w:pStyle w:val="PacketSubtitle"/>
        <w:jc w:val="center"/>
      </w:pPr>
      <w:r>
        <w:t>Flatbed and general freight carrier onboarding packet, payment terms, insurance requirements, and broker-carrier agreement.</w:t>
      </w:r>
    </w:p>
    <w:tbl>
      <w:tblPr>
        <w:tblW w:w="0" w:type="auto"/>
        <w:jc w:val="center"/>
        <w:tblBorders>
          <w:top w:val="single" w:sz="6" w:space="0" w:color="C7CFD9"/>
          <w:left w:val="single" w:sz="6" w:space="0" w:color="C7CFD9"/>
          <w:bottom w:val="single" w:sz="6" w:space="0" w:color="C7CFD9"/>
          <w:right w:val="single" w:sz="6" w:space="0" w:color="C7CFD9"/>
          <w:insideH w:val="single" w:sz="6" w:space="0" w:color="C7CFD9"/>
          <w:insideV w:val="single" w:sz="6" w:space="0" w:color="C7CFD9"/>
        </w:tblBorders>
        <w:tblLayout w:type="fixed"/>
        <w:tblLook w:val="04A0" w:firstRow="1" w:lastRow="0" w:firstColumn="1" w:lastColumn="0" w:noHBand="0" w:noVBand="1"/>
      </w:tblPr>
      <w:tblGrid>
        <w:gridCol w:w="10224"/>
      </w:tblGrid>
      <w:tr w:rsidR="002A41D4" w14:paraId="51665394" w14:textId="77777777">
        <w:trPr>
          <w:jc w:val="center"/>
        </w:trPr>
        <w:tc>
          <w:tcPr>
            <w:tcW w:w="10224" w:type="dxa"/>
            <w:shd w:val="clear" w:color="auto" w:fill="DCE6F1"/>
            <w:tcMar>
              <w:top w:w="80" w:type="dxa"/>
              <w:left w:w="100" w:type="dxa"/>
              <w:bottom w:w="80" w:type="dxa"/>
              <w:right w:w="100" w:type="dxa"/>
            </w:tcMar>
            <w:vAlign w:val="center"/>
          </w:tcPr>
          <w:p w14:paraId="72521115" w14:textId="77777777" w:rsidR="002A41D4" w:rsidRDefault="00000000">
            <w:r>
              <w:rPr>
                <w:b/>
                <w:color w:val="163A59"/>
              </w:rPr>
              <w:t>Packet Purpose</w:t>
            </w:r>
          </w:p>
        </w:tc>
      </w:tr>
      <w:tr w:rsidR="002A41D4" w14:paraId="0F00D9E5" w14:textId="77777777">
        <w:trPr>
          <w:jc w:val="center"/>
        </w:trPr>
        <w:tc>
          <w:tcPr>
            <w:tcW w:w="10224" w:type="dxa"/>
            <w:shd w:val="clear" w:color="auto" w:fill="F7FAFC"/>
            <w:tcMar>
              <w:top w:w="80" w:type="dxa"/>
              <w:left w:w="100" w:type="dxa"/>
              <w:bottom w:w="80" w:type="dxa"/>
              <w:right w:w="100" w:type="dxa"/>
            </w:tcMar>
            <w:vAlign w:val="center"/>
          </w:tcPr>
          <w:p w14:paraId="5DA145D5" w14:textId="77777777" w:rsidR="002A41D4" w:rsidRDefault="00000000">
            <w:r>
              <w:t>This packet is provided by Ascension &amp; Associates LLC for the setup and onboarding of contract motor carriers handling flatbed and general freight. Specialized freight such as refrigerated, food-grade, hazmat, oversized, project cargo, or customer-specific freight may require separate written addenda.</w:t>
            </w:r>
          </w:p>
        </w:tc>
      </w:tr>
      <w:tr w:rsidR="002A41D4" w14:paraId="42E65B7C" w14:textId="77777777">
        <w:trPr>
          <w:jc w:val="center"/>
        </w:trPr>
        <w:tc>
          <w:tcPr>
            <w:tcW w:w="10224" w:type="dxa"/>
            <w:tcMar>
              <w:top w:w="80" w:type="dxa"/>
              <w:left w:w="100" w:type="dxa"/>
              <w:bottom w:w="80" w:type="dxa"/>
              <w:right w:w="100" w:type="dxa"/>
            </w:tcMar>
            <w:vAlign w:val="center"/>
          </w:tcPr>
          <w:p w14:paraId="2EB3CDAE" w14:textId="77777777" w:rsidR="002A41D4" w:rsidRDefault="00000000">
            <w:r>
              <w:rPr>
                <w:b/>
                <w:color w:val="163A59"/>
              </w:rPr>
              <w:t>Important</w:t>
            </w:r>
          </w:p>
        </w:tc>
      </w:tr>
      <w:tr w:rsidR="002A41D4" w14:paraId="1DFCF380" w14:textId="77777777">
        <w:trPr>
          <w:jc w:val="center"/>
        </w:trPr>
        <w:tc>
          <w:tcPr>
            <w:tcW w:w="10224" w:type="dxa"/>
            <w:shd w:val="clear" w:color="auto" w:fill="F7FAFC"/>
            <w:tcMar>
              <w:top w:w="80" w:type="dxa"/>
              <w:left w:w="100" w:type="dxa"/>
              <w:bottom w:w="80" w:type="dxa"/>
              <w:right w:w="100" w:type="dxa"/>
            </w:tcMar>
            <w:vAlign w:val="center"/>
          </w:tcPr>
          <w:p w14:paraId="1A5084A2" w14:textId="77777777" w:rsidR="002A41D4" w:rsidRDefault="00000000">
            <w:r>
              <w:t>Carrier setup approval does not guarantee freight. Each shipment remains subject to a separate rate confirmation and any shipment-specific requirements imposed by Broker or the customer.</w:t>
            </w:r>
          </w:p>
        </w:tc>
      </w:tr>
    </w:tbl>
    <w:p w14:paraId="0C163544" w14:textId="77777777" w:rsidR="002A41D4" w:rsidRDefault="00000000">
      <w:pPr>
        <w:pStyle w:val="SectionHead"/>
      </w:pPr>
      <w:r>
        <w:t>Instructions</w:t>
      </w:r>
    </w:p>
    <w:p w14:paraId="4B063B48" w14:textId="77777777" w:rsidR="002A41D4" w:rsidRDefault="00000000">
      <w:pPr>
        <w:ind w:left="216"/>
      </w:pPr>
      <w:r>
        <w:rPr>
          <w:b/>
        </w:rPr>
        <w:t xml:space="preserve">• </w:t>
      </w:r>
      <w:r>
        <w:t>Type or print clearly. Incomplete packets may delay approval or dispatch eligibility.</w:t>
      </w:r>
    </w:p>
    <w:p w14:paraId="491D213B" w14:textId="77777777" w:rsidR="002A41D4" w:rsidRDefault="00000000">
      <w:pPr>
        <w:ind w:left="216"/>
      </w:pPr>
      <w:r>
        <w:rPr>
          <w:b/>
        </w:rPr>
        <w:t xml:space="preserve">• </w:t>
      </w:r>
      <w:r>
        <w:t>Attach all required supporting documents listed in the checklist before submitting the packet.</w:t>
      </w:r>
    </w:p>
    <w:p w14:paraId="7D90B9BC" w14:textId="77777777" w:rsidR="002A41D4" w:rsidRDefault="00000000">
      <w:pPr>
        <w:ind w:left="216"/>
      </w:pPr>
      <w:r>
        <w:rPr>
          <w:b/>
        </w:rPr>
        <w:t xml:space="preserve">• </w:t>
      </w:r>
      <w:r>
        <w:t>Provide current insurance certificates, W-9, and signed agreement pages before the first load is tendered.</w:t>
      </w:r>
    </w:p>
    <w:p w14:paraId="34325151" w14:textId="77777777" w:rsidR="002A41D4" w:rsidRDefault="00000000">
      <w:pPr>
        <w:ind w:left="216"/>
      </w:pPr>
      <w:r>
        <w:rPr>
          <w:b/>
        </w:rPr>
        <w:t xml:space="preserve">• </w:t>
      </w:r>
      <w:r>
        <w:t>The standard packet is for flatbed and general freight. Refrigerated, food-grade, hazmat, oversized project cargo, or customer-specific freight may require a separate addendum.</w:t>
      </w:r>
    </w:p>
    <w:p w14:paraId="0966592F" w14:textId="77777777" w:rsidR="002A41D4" w:rsidRDefault="00000000">
      <w:pPr>
        <w:ind w:left="216"/>
      </w:pPr>
      <w:r>
        <w:rPr>
          <w:b/>
        </w:rPr>
        <w:t xml:space="preserve">• </w:t>
      </w:r>
      <w:r>
        <w:t>Visible broker contact pages may list phone and email only. Formal legal notice details may be maintained separately in the agreement file.</w:t>
      </w:r>
    </w:p>
    <w:p w14:paraId="367821DD" w14:textId="77777777" w:rsidR="002A41D4" w:rsidRDefault="00000000">
      <w:r>
        <w:br w:type="page"/>
      </w:r>
    </w:p>
    <w:p w14:paraId="39B7E132" w14:textId="77777777" w:rsidR="002A41D4" w:rsidRDefault="00000000">
      <w:pPr>
        <w:pStyle w:val="SectionHead"/>
      </w:pPr>
      <w:r>
        <w:lastRenderedPageBreak/>
        <w:t>1. Submission Checklist</w:t>
      </w:r>
    </w:p>
    <w:p w14:paraId="5E4700B2" w14:textId="77777777" w:rsidR="002A41D4" w:rsidRDefault="00000000">
      <w:pPr>
        <w:pStyle w:val="PacketSubtitle"/>
      </w:pPr>
      <w:r>
        <w:t>Required documents for initial setup</w:t>
      </w:r>
    </w:p>
    <w:tbl>
      <w:tblPr>
        <w:tblW w:w="0" w:type="auto"/>
        <w:jc w:val="center"/>
        <w:tblBorders>
          <w:top w:val="single" w:sz="6" w:space="0" w:color="C7CFD9"/>
          <w:left w:val="single" w:sz="6" w:space="0" w:color="C7CFD9"/>
          <w:bottom w:val="single" w:sz="6" w:space="0" w:color="C7CFD9"/>
          <w:right w:val="single" w:sz="6" w:space="0" w:color="C7CFD9"/>
          <w:insideH w:val="single" w:sz="6" w:space="0" w:color="C7CFD9"/>
          <w:insideV w:val="single" w:sz="6" w:space="0" w:color="C7CFD9"/>
        </w:tblBorders>
        <w:tblLayout w:type="fixed"/>
        <w:tblLook w:val="04A0" w:firstRow="1" w:lastRow="0" w:firstColumn="1" w:lastColumn="0" w:noHBand="0" w:noVBand="1"/>
      </w:tblPr>
      <w:tblGrid>
        <w:gridCol w:w="792"/>
        <w:gridCol w:w="6984"/>
        <w:gridCol w:w="1728"/>
      </w:tblGrid>
      <w:tr w:rsidR="002A41D4" w14:paraId="662BDE84" w14:textId="77777777">
        <w:trPr>
          <w:jc w:val="center"/>
        </w:trPr>
        <w:tc>
          <w:tcPr>
            <w:tcW w:w="792" w:type="dxa"/>
            <w:shd w:val="clear" w:color="auto" w:fill="1F4E78"/>
            <w:tcMar>
              <w:top w:w="80" w:type="dxa"/>
              <w:left w:w="100" w:type="dxa"/>
              <w:bottom w:w="80" w:type="dxa"/>
              <w:right w:w="100" w:type="dxa"/>
            </w:tcMar>
            <w:vAlign w:val="center"/>
          </w:tcPr>
          <w:p w14:paraId="64F29C15" w14:textId="77777777" w:rsidR="002A41D4" w:rsidRDefault="00000000">
            <w:pPr>
              <w:spacing w:after="40" w:line="252" w:lineRule="auto"/>
              <w:jc w:val="center"/>
            </w:pPr>
            <w:r>
              <w:rPr>
                <w:b/>
                <w:color w:val="FFFFFF"/>
                <w:sz w:val="19"/>
              </w:rPr>
              <w:t>Item</w:t>
            </w:r>
          </w:p>
        </w:tc>
        <w:tc>
          <w:tcPr>
            <w:tcW w:w="6984" w:type="dxa"/>
            <w:shd w:val="clear" w:color="auto" w:fill="1F4E78"/>
            <w:tcMar>
              <w:top w:w="80" w:type="dxa"/>
              <w:left w:w="100" w:type="dxa"/>
              <w:bottom w:w="80" w:type="dxa"/>
              <w:right w:w="100" w:type="dxa"/>
            </w:tcMar>
            <w:vAlign w:val="center"/>
          </w:tcPr>
          <w:p w14:paraId="4A5AAF4A" w14:textId="77777777" w:rsidR="002A41D4" w:rsidRDefault="00000000">
            <w:pPr>
              <w:spacing w:after="40" w:line="252" w:lineRule="auto"/>
              <w:jc w:val="center"/>
            </w:pPr>
            <w:r>
              <w:rPr>
                <w:b/>
                <w:color w:val="FFFFFF"/>
                <w:sz w:val="19"/>
              </w:rPr>
              <w:t>Required document</w:t>
            </w:r>
          </w:p>
        </w:tc>
        <w:tc>
          <w:tcPr>
            <w:tcW w:w="1728" w:type="dxa"/>
            <w:shd w:val="clear" w:color="auto" w:fill="1F4E78"/>
            <w:tcMar>
              <w:top w:w="80" w:type="dxa"/>
              <w:left w:w="100" w:type="dxa"/>
              <w:bottom w:w="80" w:type="dxa"/>
              <w:right w:w="100" w:type="dxa"/>
            </w:tcMar>
            <w:vAlign w:val="center"/>
          </w:tcPr>
          <w:p w14:paraId="140385AC" w14:textId="77777777" w:rsidR="002A41D4" w:rsidRDefault="00000000">
            <w:pPr>
              <w:spacing w:after="40" w:line="252" w:lineRule="auto"/>
              <w:jc w:val="center"/>
            </w:pPr>
            <w:r>
              <w:rPr>
                <w:b/>
                <w:color w:val="FFFFFF"/>
                <w:sz w:val="19"/>
              </w:rPr>
              <w:t>Status</w:t>
            </w:r>
          </w:p>
        </w:tc>
      </w:tr>
      <w:tr w:rsidR="002A41D4" w14:paraId="54798ED7" w14:textId="77777777">
        <w:trPr>
          <w:jc w:val="center"/>
        </w:trPr>
        <w:tc>
          <w:tcPr>
            <w:tcW w:w="792" w:type="dxa"/>
            <w:tcMar>
              <w:top w:w="80" w:type="dxa"/>
              <w:left w:w="100" w:type="dxa"/>
              <w:bottom w:w="80" w:type="dxa"/>
              <w:right w:w="100" w:type="dxa"/>
            </w:tcMar>
            <w:vAlign w:val="center"/>
          </w:tcPr>
          <w:p w14:paraId="3C044F49" w14:textId="77777777" w:rsidR="002A41D4" w:rsidRDefault="00000000">
            <w:pPr>
              <w:spacing w:after="40" w:line="252" w:lineRule="auto"/>
              <w:jc w:val="center"/>
            </w:pPr>
            <w:r>
              <w:rPr>
                <w:sz w:val="18"/>
              </w:rPr>
              <w:t>☐</w:t>
            </w:r>
          </w:p>
        </w:tc>
        <w:tc>
          <w:tcPr>
            <w:tcW w:w="6984" w:type="dxa"/>
            <w:tcMar>
              <w:top w:w="80" w:type="dxa"/>
              <w:left w:w="100" w:type="dxa"/>
              <w:bottom w:w="80" w:type="dxa"/>
              <w:right w:w="100" w:type="dxa"/>
            </w:tcMar>
            <w:vAlign w:val="center"/>
          </w:tcPr>
          <w:p w14:paraId="0C627B7D" w14:textId="77777777" w:rsidR="002A41D4" w:rsidRDefault="00000000">
            <w:pPr>
              <w:spacing w:after="40" w:line="252" w:lineRule="auto"/>
            </w:pPr>
            <w:r>
              <w:rPr>
                <w:sz w:val="18"/>
              </w:rPr>
              <w:t>Signed carrier packet and agreement acceptance page</w:t>
            </w:r>
          </w:p>
        </w:tc>
        <w:tc>
          <w:tcPr>
            <w:tcW w:w="1728" w:type="dxa"/>
            <w:tcMar>
              <w:top w:w="80" w:type="dxa"/>
              <w:left w:w="100" w:type="dxa"/>
              <w:bottom w:w="80" w:type="dxa"/>
              <w:right w:w="100" w:type="dxa"/>
            </w:tcMar>
            <w:vAlign w:val="center"/>
          </w:tcPr>
          <w:p w14:paraId="39282754" w14:textId="77777777" w:rsidR="002A41D4" w:rsidRDefault="00000000">
            <w:pPr>
              <w:spacing w:after="40" w:line="252" w:lineRule="auto"/>
              <w:jc w:val="center"/>
            </w:pPr>
            <w:r>
              <w:rPr>
                <w:sz w:val="18"/>
              </w:rPr>
              <w:t>Received / Missing</w:t>
            </w:r>
          </w:p>
        </w:tc>
      </w:tr>
      <w:tr w:rsidR="002A41D4" w14:paraId="5311425E" w14:textId="77777777">
        <w:trPr>
          <w:jc w:val="center"/>
        </w:trPr>
        <w:tc>
          <w:tcPr>
            <w:tcW w:w="792" w:type="dxa"/>
            <w:tcMar>
              <w:top w:w="80" w:type="dxa"/>
              <w:left w:w="100" w:type="dxa"/>
              <w:bottom w:w="80" w:type="dxa"/>
              <w:right w:w="100" w:type="dxa"/>
            </w:tcMar>
            <w:vAlign w:val="center"/>
          </w:tcPr>
          <w:p w14:paraId="5669B954" w14:textId="77777777" w:rsidR="002A41D4" w:rsidRDefault="00000000">
            <w:pPr>
              <w:spacing w:after="40" w:line="252" w:lineRule="auto"/>
              <w:jc w:val="center"/>
            </w:pPr>
            <w:r>
              <w:rPr>
                <w:sz w:val="18"/>
              </w:rPr>
              <w:t>☐</w:t>
            </w:r>
          </w:p>
        </w:tc>
        <w:tc>
          <w:tcPr>
            <w:tcW w:w="6984" w:type="dxa"/>
            <w:tcMar>
              <w:top w:w="80" w:type="dxa"/>
              <w:left w:w="100" w:type="dxa"/>
              <w:bottom w:w="80" w:type="dxa"/>
              <w:right w:w="100" w:type="dxa"/>
            </w:tcMar>
            <w:vAlign w:val="center"/>
          </w:tcPr>
          <w:p w14:paraId="30F7A295" w14:textId="77777777" w:rsidR="002A41D4" w:rsidRDefault="00000000">
            <w:pPr>
              <w:spacing w:after="40" w:line="252" w:lineRule="auto"/>
            </w:pPr>
            <w:r>
              <w:rPr>
                <w:sz w:val="18"/>
              </w:rPr>
              <w:t>Current certificate of insurance showing required limits</w:t>
            </w:r>
          </w:p>
        </w:tc>
        <w:tc>
          <w:tcPr>
            <w:tcW w:w="1728" w:type="dxa"/>
            <w:tcMar>
              <w:top w:w="80" w:type="dxa"/>
              <w:left w:w="100" w:type="dxa"/>
              <w:bottom w:w="80" w:type="dxa"/>
              <w:right w:w="100" w:type="dxa"/>
            </w:tcMar>
            <w:vAlign w:val="center"/>
          </w:tcPr>
          <w:p w14:paraId="27250A84" w14:textId="77777777" w:rsidR="002A41D4" w:rsidRDefault="00000000">
            <w:pPr>
              <w:spacing w:after="40" w:line="252" w:lineRule="auto"/>
              <w:jc w:val="center"/>
            </w:pPr>
            <w:r>
              <w:rPr>
                <w:sz w:val="18"/>
              </w:rPr>
              <w:t>Received / Missing</w:t>
            </w:r>
          </w:p>
        </w:tc>
      </w:tr>
      <w:tr w:rsidR="002A41D4" w14:paraId="4CA3586B" w14:textId="77777777">
        <w:trPr>
          <w:jc w:val="center"/>
        </w:trPr>
        <w:tc>
          <w:tcPr>
            <w:tcW w:w="792" w:type="dxa"/>
            <w:tcMar>
              <w:top w:w="80" w:type="dxa"/>
              <w:left w:w="100" w:type="dxa"/>
              <w:bottom w:w="80" w:type="dxa"/>
              <w:right w:w="100" w:type="dxa"/>
            </w:tcMar>
            <w:vAlign w:val="center"/>
          </w:tcPr>
          <w:p w14:paraId="582BF6E0" w14:textId="77777777" w:rsidR="002A41D4" w:rsidRDefault="00000000">
            <w:pPr>
              <w:spacing w:after="40" w:line="252" w:lineRule="auto"/>
              <w:jc w:val="center"/>
            </w:pPr>
            <w:r>
              <w:rPr>
                <w:sz w:val="18"/>
              </w:rPr>
              <w:t>☐</w:t>
            </w:r>
          </w:p>
        </w:tc>
        <w:tc>
          <w:tcPr>
            <w:tcW w:w="6984" w:type="dxa"/>
            <w:tcMar>
              <w:top w:w="80" w:type="dxa"/>
              <w:left w:w="100" w:type="dxa"/>
              <w:bottom w:w="80" w:type="dxa"/>
              <w:right w:w="100" w:type="dxa"/>
            </w:tcMar>
            <w:vAlign w:val="center"/>
          </w:tcPr>
          <w:p w14:paraId="29AACA57" w14:textId="77777777" w:rsidR="002A41D4" w:rsidRDefault="00000000">
            <w:pPr>
              <w:spacing w:after="40" w:line="252" w:lineRule="auto"/>
            </w:pPr>
            <w:r>
              <w:rPr>
                <w:sz w:val="18"/>
              </w:rPr>
              <w:t>Signed IRS Form W-9 matching legal payee</w:t>
            </w:r>
          </w:p>
        </w:tc>
        <w:tc>
          <w:tcPr>
            <w:tcW w:w="1728" w:type="dxa"/>
            <w:tcMar>
              <w:top w:w="80" w:type="dxa"/>
              <w:left w:w="100" w:type="dxa"/>
              <w:bottom w:w="80" w:type="dxa"/>
              <w:right w:w="100" w:type="dxa"/>
            </w:tcMar>
            <w:vAlign w:val="center"/>
          </w:tcPr>
          <w:p w14:paraId="182132B7" w14:textId="77777777" w:rsidR="002A41D4" w:rsidRDefault="00000000">
            <w:pPr>
              <w:spacing w:after="40" w:line="252" w:lineRule="auto"/>
              <w:jc w:val="center"/>
            </w:pPr>
            <w:r>
              <w:rPr>
                <w:sz w:val="18"/>
              </w:rPr>
              <w:t>Received / Missing</w:t>
            </w:r>
          </w:p>
        </w:tc>
      </w:tr>
      <w:tr w:rsidR="002A41D4" w14:paraId="14C7A0F0" w14:textId="77777777">
        <w:trPr>
          <w:jc w:val="center"/>
        </w:trPr>
        <w:tc>
          <w:tcPr>
            <w:tcW w:w="792" w:type="dxa"/>
            <w:tcMar>
              <w:top w:w="80" w:type="dxa"/>
              <w:left w:w="100" w:type="dxa"/>
              <w:bottom w:w="80" w:type="dxa"/>
              <w:right w:w="100" w:type="dxa"/>
            </w:tcMar>
            <w:vAlign w:val="center"/>
          </w:tcPr>
          <w:p w14:paraId="3183D4B8" w14:textId="77777777" w:rsidR="002A41D4" w:rsidRDefault="00000000">
            <w:pPr>
              <w:spacing w:after="40" w:line="252" w:lineRule="auto"/>
              <w:jc w:val="center"/>
            </w:pPr>
            <w:r>
              <w:rPr>
                <w:sz w:val="18"/>
              </w:rPr>
              <w:t>☐</w:t>
            </w:r>
          </w:p>
        </w:tc>
        <w:tc>
          <w:tcPr>
            <w:tcW w:w="6984" w:type="dxa"/>
            <w:tcMar>
              <w:top w:w="80" w:type="dxa"/>
              <w:left w:w="100" w:type="dxa"/>
              <w:bottom w:w="80" w:type="dxa"/>
              <w:right w:w="100" w:type="dxa"/>
            </w:tcMar>
            <w:vAlign w:val="center"/>
          </w:tcPr>
          <w:p w14:paraId="29845423" w14:textId="77777777" w:rsidR="002A41D4" w:rsidRDefault="00000000">
            <w:pPr>
              <w:spacing w:after="40" w:line="252" w:lineRule="auto"/>
            </w:pPr>
            <w:r>
              <w:rPr>
                <w:sz w:val="18"/>
              </w:rPr>
              <w:t>Operating authority and active MC / DOT verification</w:t>
            </w:r>
          </w:p>
        </w:tc>
        <w:tc>
          <w:tcPr>
            <w:tcW w:w="1728" w:type="dxa"/>
            <w:tcMar>
              <w:top w:w="80" w:type="dxa"/>
              <w:left w:w="100" w:type="dxa"/>
              <w:bottom w:w="80" w:type="dxa"/>
              <w:right w:w="100" w:type="dxa"/>
            </w:tcMar>
            <w:vAlign w:val="center"/>
          </w:tcPr>
          <w:p w14:paraId="549C8C85" w14:textId="77777777" w:rsidR="002A41D4" w:rsidRDefault="00000000">
            <w:pPr>
              <w:spacing w:after="40" w:line="252" w:lineRule="auto"/>
              <w:jc w:val="center"/>
            </w:pPr>
            <w:r>
              <w:rPr>
                <w:sz w:val="18"/>
              </w:rPr>
              <w:t>Verified / Pending</w:t>
            </w:r>
          </w:p>
        </w:tc>
      </w:tr>
      <w:tr w:rsidR="002A41D4" w14:paraId="26593E7D" w14:textId="77777777">
        <w:trPr>
          <w:jc w:val="center"/>
        </w:trPr>
        <w:tc>
          <w:tcPr>
            <w:tcW w:w="792" w:type="dxa"/>
            <w:tcMar>
              <w:top w:w="80" w:type="dxa"/>
              <w:left w:w="100" w:type="dxa"/>
              <w:bottom w:w="80" w:type="dxa"/>
              <w:right w:w="100" w:type="dxa"/>
            </w:tcMar>
            <w:vAlign w:val="center"/>
          </w:tcPr>
          <w:p w14:paraId="4975C9C4" w14:textId="77777777" w:rsidR="002A41D4" w:rsidRDefault="00000000">
            <w:pPr>
              <w:spacing w:after="40" w:line="252" w:lineRule="auto"/>
              <w:jc w:val="center"/>
            </w:pPr>
            <w:r>
              <w:rPr>
                <w:sz w:val="18"/>
              </w:rPr>
              <w:t>☐</w:t>
            </w:r>
          </w:p>
        </w:tc>
        <w:tc>
          <w:tcPr>
            <w:tcW w:w="6984" w:type="dxa"/>
            <w:tcMar>
              <w:top w:w="80" w:type="dxa"/>
              <w:left w:w="100" w:type="dxa"/>
              <w:bottom w:w="80" w:type="dxa"/>
              <w:right w:w="100" w:type="dxa"/>
            </w:tcMar>
            <w:vAlign w:val="center"/>
          </w:tcPr>
          <w:p w14:paraId="46CA2EFB" w14:textId="77777777" w:rsidR="002A41D4" w:rsidRDefault="00000000">
            <w:pPr>
              <w:spacing w:after="40" w:line="252" w:lineRule="auto"/>
            </w:pPr>
            <w:r>
              <w:rPr>
                <w:sz w:val="18"/>
              </w:rPr>
              <w:t>Safety review / FMCSA status review</w:t>
            </w:r>
          </w:p>
        </w:tc>
        <w:tc>
          <w:tcPr>
            <w:tcW w:w="1728" w:type="dxa"/>
            <w:tcMar>
              <w:top w:w="80" w:type="dxa"/>
              <w:left w:w="100" w:type="dxa"/>
              <w:bottom w:w="80" w:type="dxa"/>
              <w:right w:w="100" w:type="dxa"/>
            </w:tcMar>
            <w:vAlign w:val="center"/>
          </w:tcPr>
          <w:p w14:paraId="557937A9" w14:textId="77777777" w:rsidR="002A41D4" w:rsidRDefault="00000000">
            <w:pPr>
              <w:spacing w:after="40" w:line="252" w:lineRule="auto"/>
              <w:jc w:val="center"/>
            </w:pPr>
            <w:r>
              <w:rPr>
                <w:sz w:val="18"/>
              </w:rPr>
              <w:t>Verified / Pending</w:t>
            </w:r>
          </w:p>
        </w:tc>
      </w:tr>
      <w:tr w:rsidR="002A41D4" w14:paraId="44682846" w14:textId="77777777">
        <w:trPr>
          <w:jc w:val="center"/>
        </w:trPr>
        <w:tc>
          <w:tcPr>
            <w:tcW w:w="792" w:type="dxa"/>
            <w:tcMar>
              <w:top w:w="80" w:type="dxa"/>
              <w:left w:w="100" w:type="dxa"/>
              <w:bottom w:w="80" w:type="dxa"/>
              <w:right w:w="100" w:type="dxa"/>
            </w:tcMar>
            <w:vAlign w:val="center"/>
          </w:tcPr>
          <w:p w14:paraId="48BF110F" w14:textId="77777777" w:rsidR="002A41D4" w:rsidRDefault="00000000">
            <w:pPr>
              <w:spacing w:after="40" w:line="252" w:lineRule="auto"/>
              <w:jc w:val="center"/>
            </w:pPr>
            <w:r>
              <w:rPr>
                <w:sz w:val="18"/>
              </w:rPr>
              <w:t>☐</w:t>
            </w:r>
          </w:p>
        </w:tc>
        <w:tc>
          <w:tcPr>
            <w:tcW w:w="6984" w:type="dxa"/>
            <w:tcMar>
              <w:top w:w="80" w:type="dxa"/>
              <w:left w:w="100" w:type="dxa"/>
              <w:bottom w:w="80" w:type="dxa"/>
              <w:right w:w="100" w:type="dxa"/>
            </w:tcMar>
            <w:vAlign w:val="center"/>
          </w:tcPr>
          <w:p w14:paraId="64FE4982" w14:textId="77777777" w:rsidR="002A41D4" w:rsidRDefault="00000000">
            <w:pPr>
              <w:spacing w:after="40" w:line="252" w:lineRule="auto"/>
            </w:pPr>
            <w:r>
              <w:rPr>
                <w:sz w:val="18"/>
              </w:rPr>
              <w:t>Notice of Assignment, if carrier uses factoring</w:t>
            </w:r>
          </w:p>
        </w:tc>
        <w:tc>
          <w:tcPr>
            <w:tcW w:w="1728" w:type="dxa"/>
            <w:tcMar>
              <w:top w:w="80" w:type="dxa"/>
              <w:left w:w="100" w:type="dxa"/>
              <w:bottom w:w="80" w:type="dxa"/>
              <w:right w:w="100" w:type="dxa"/>
            </w:tcMar>
            <w:vAlign w:val="center"/>
          </w:tcPr>
          <w:p w14:paraId="0A56F0FF" w14:textId="77777777" w:rsidR="002A41D4" w:rsidRDefault="00000000">
            <w:pPr>
              <w:spacing w:after="40" w:line="252" w:lineRule="auto"/>
              <w:jc w:val="center"/>
            </w:pPr>
            <w:r>
              <w:rPr>
                <w:sz w:val="18"/>
              </w:rPr>
              <w:t>Required / N/A</w:t>
            </w:r>
          </w:p>
        </w:tc>
      </w:tr>
      <w:tr w:rsidR="002A41D4" w14:paraId="4AB80BDB" w14:textId="77777777">
        <w:trPr>
          <w:jc w:val="center"/>
        </w:trPr>
        <w:tc>
          <w:tcPr>
            <w:tcW w:w="792" w:type="dxa"/>
            <w:tcMar>
              <w:top w:w="80" w:type="dxa"/>
              <w:left w:w="100" w:type="dxa"/>
              <w:bottom w:w="80" w:type="dxa"/>
              <w:right w:w="100" w:type="dxa"/>
            </w:tcMar>
            <w:vAlign w:val="center"/>
          </w:tcPr>
          <w:p w14:paraId="6ADDE3C3" w14:textId="77777777" w:rsidR="002A41D4" w:rsidRDefault="00000000">
            <w:pPr>
              <w:spacing w:after="40" w:line="252" w:lineRule="auto"/>
              <w:jc w:val="center"/>
            </w:pPr>
            <w:r>
              <w:rPr>
                <w:sz w:val="18"/>
              </w:rPr>
              <w:t>☐</w:t>
            </w:r>
          </w:p>
        </w:tc>
        <w:tc>
          <w:tcPr>
            <w:tcW w:w="6984" w:type="dxa"/>
            <w:tcMar>
              <w:top w:w="80" w:type="dxa"/>
              <w:left w:w="100" w:type="dxa"/>
              <w:bottom w:w="80" w:type="dxa"/>
              <w:right w:w="100" w:type="dxa"/>
            </w:tcMar>
            <w:vAlign w:val="center"/>
          </w:tcPr>
          <w:p w14:paraId="5D77A3FA" w14:textId="77777777" w:rsidR="002A41D4" w:rsidRDefault="00000000">
            <w:pPr>
              <w:spacing w:after="40" w:line="252" w:lineRule="auto"/>
            </w:pPr>
            <w:r>
              <w:rPr>
                <w:sz w:val="18"/>
              </w:rPr>
              <w:t>Void check or ACH remittance form, if requested</w:t>
            </w:r>
          </w:p>
        </w:tc>
        <w:tc>
          <w:tcPr>
            <w:tcW w:w="1728" w:type="dxa"/>
            <w:tcMar>
              <w:top w:w="80" w:type="dxa"/>
              <w:left w:w="100" w:type="dxa"/>
              <w:bottom w:w="80" w:type="dxa"/>
              <w:right w:w="100" w:type="dxa"/>
            </w:tcMar>
            <w:vAlign w:val="center"/>
          </w:tcPr>
          <w:p w14:paraId="51DA9CA3" w14:textId="77777777" w:rsidR="002A41D4" w:rsidRDefault="00000000">
            <w:pPr>
              <w:spacing w:after="40" w:line="252" w:lineRule="auto"/>
              <w:jc w:val="center"/>
            </w:pPr>
            <w:r>
              <w:rPr>
                <w:sz w:val="18"/>
              </w:rPr>
              <w:t>Received / N/A</w:t>
            </w:r>
          </w:p>
        </w:tc>
      </w:tr>
    </w:tbl>
    <w:p w14:paraId="11ABA6F4" w14:textId="77777777" w:rsidR="002A41D4" w:rsidRDefault="00000000">
      <w:pPr>
        <w:pStyle w:val="SectionHead"/>
      </w:pPr>
      <w:r>
        <w:t>2. Carrier Profile</w:t>
      </w:r>
    </w:p>
    <w:p w14:paraId="0130A2AE" w14:textId="77777777" w:rsidR="002A41D4" w:rsidRDefault="00000000">
      <w:pPr>
        <w:pStyle w:val="PacketSubtitle"/>
      </w:pPr>
      <w:r>
        <w:t>Carrier identity and contact information</w:t>
      </w:r>
    </w:p>
    <w:p w14:paraId="41DD9DFD" w14:textId="77777777" w:rsidR="002A41D4" w:rsidRDefault="00000000">
      <w:r>
        <w:t>Legal Carrier Name: ________________________________________________   DBA: ____________________________</w:t>
      </w:r>
    </w:p>
    <w:p w14:paraId="6E02D644" w14:textId="77777777" w:rsidR="002A41D4" w:rsidRDefault="00000000">
      <w:r>
        <w:t>MC Number: __________________  USDOT Number: __________________  EIN / Tax ID: __________________</w:t>
      </w:r>
    </w:p>
    <w:p w14:paraId="7DE2CE75" w14:textId="77777777" w:rsidR="002A41D4" w:rsidRDefault="00000000">
      <w:r>
        <w:t>Principal Contact: ________________________________________________   Title: ____________________________</w:t>
      </w:r>
    </w:p>
    <w:p w14:paraId="0117641B" w14:textId="77777777" w:rsidR="002A41D4" w:rsidRDefault="00000000">
      <w:r>
        <w:t>Phone: ______________________________________   Email: ________________________________________________</w:t>
      </w:r>
    </w:p>
    <w:p w14:paraId="79680E30" w14:textId="77777777" w:rsidR="002A41D4" w:rsidRDefault="00000000">
      <w:r>
        <w:t>Dispatch Contact: _____________________________________   Dispatch Email: _________________________________</w:t>
      </w:r>
    </w:p>
    <w:p w14:paraId="27F531FD" w14:textId="77777777" w:rsidR="002A41D4" w:rsidRDefault="00000000">
      <w:r>
        <w:t>Billing / Remittance Contact: _________________________   Accounting Email: ______________________________</w:t>
      </w:r>
    </w:p>
    <w:p w14:paraId="048B812B" w14:textId="77777777" w:rsidR="002A41D4" w:rsidRDefault="00000000">
      <w:r>
        <w:t>Carrier shall promptly update Broker in writing if any carrier contact, dispatch, billing, authority, or remittance information changes.</w:t>
      </w:r>
    </w:p>
    <w:p w14:paraId="76E70252" w14:textId="77777777" w:rsidR="002A41D4" w:rsidRDefault="00000000">
      <w:pPr>
        <w:pStyle w:val="SectionHead"/>
      </w:pPr>
      <w:r>
        <w:t>3. Operations Profile</w:t>
      </w:r>
    </w:p>
    <w:p w14:paraId="1750EA5E" w14:textId="77777777" w:rsidR="002A41D4" w:rsidRDefault="00000000">
      <w:pPr>
        <w:pStyle w:val="PacketSubtitle"/>
      </w:pPr>
      <w:r>
        <w:t>Fit for flatbed and general freight operations</w:t>
      </w:r>
    </w:p>
    <w:p w14:paraId="163BE541" w14:textId="77777777" w:rsidR="002A41D4" w:rsidRDefault="00000000">
      <w:r>
        <w:t>Primary Equipment Types (flatbed, step deck, hotshot, dry van, etc.): ______________________________________</w:t>
      </w:r>
    </w:p>
    <w:p w14:paraId="12D69E92" w14:textId="77777777" w:rsidR="002A41D4" w:rsidRDefault="00000000">
      <w:r>
        <w:t>Core Service Area / Lanes: ________________________________________________________________________________</w:t>
      </w:r>
    </w:p>
    <w:p w14:paraId="4E8E041B" w14:textId="77777777" w:rsidR="002A41D4" w:rsidRDefault="00000000">
      <w:r>
        <w:t>Preferred Commodity Types: ______________________________________________________________________________</w:t>
      </w:r>
    </w:p>
    <w:p w14:paraId="39405B12" w14:textId="77777777" w:rsidR="002A41D4" w:rsidRDefault="00000000">
      <w:r>
        <w:t>Special Services Offered (tarps, straps, chains, oversize support, team, escort coordination, etc.): _____________</w:t>
      </w:r>
    </w:p>
    <w:p w14:paraId="74F2A484" w14:textId="77777777" w:rsidR="002A41D4" w:rsidRDefault="00000000">
      <w:r>
        <w:t>Tracking Capabilities (ELD / app-based / manual check calls): ________________________________________________</w:t>
      </w:r>
    </w:p>
    <w:p w14:paraId="1B9E5A23" w14:textId="77777777" w:rsidR="002A41D4" w:rsidRDefault="00000000">
      <w:r>
        <w:t>After-hours issue contact: ____________________________________  Phone: ___________________________________</w:t>
      </w:r>
    </w:p>
    <w:p w14:paraId="24F49FB2" w14:textId="77777777" w:rsidR="002A41D4" w:rsidRDefault="00000000">
      <w:pPr>
        <w:pStyle w:val="SectionHead"/>
      </w:pPr>
      <w:r>
        <w:t>4. Compliance &amp; Safety Verification</w:t>
      </w:r>
    </w:p>
    <w:p w14:paraId="579F453B" w14:textId="77777777" w:rsidR="002A41D4" w:rsidRDefault="00000000">
      <w:pPr>
        <w:pStyle w:val="PacketSubtitle"/>
      </w:pPr>
      <w:r>
        <w:t>Complete for carrier review and broker approval.</w:t>
      </w:r>
    </w:p>
    <w:tbl>
      <w:tblPr>
        <w:tblW w:w="0" w:type="auto"/>
        <w:jc w:val="center"/>
        <w:tblBorders>
          <w:top w:val="single" w:sz="6" w:space="0" w:color="C7CFD9"/>
          <w:left w:val="single" w:sz="6" w:space="0" w:color="C7CFD9"/>
          <w:bottom w:val="single" w:sz="6" w:space="0" w:color="C7CFD9"/>
          <w:right w:val="single" w:sz="6" w:space="0" w:color="C7CFD9"/>
          <w:insideH w:val="single" w:sz="6" w:space="0" w:color="C7CFD9"/>
          <w:insideV w:val="single" w:sz="6" w:space="0" w:color="C7CFD9"/>
        </w:tblBorders>
        <w:tblLayout w:type="fixed"/>
        <w:tblLook w:val="04A0" w:firstRow="1" w:lastRow="0" w:firstColumn="1" w:lastColumn="0" w:noHBand="0" w:noVBand="1"/>
      </w:tblPr>
      <w:tblGrid>
        <w:gridCol w:w="6192"/>
        <w:gridCol w:w="1152"/>
        <w:gridCol w:w="1152"/>
        <w:gridCol w:w="1440"/>
      </w:tblGrid>
      <w:tr w:rsidR="002A41D4" w14:paraId="0DB6D7C4" w14:textId="77777777">
        <w:trPr>
          <w:jc w:val="center"/>
        </w:trPr>
        <w:tc>
          <w:tcPr>
            <w:tcW w:w="6192" w:type="dxa"/>
            <w:shd w:val="clear" w:color="auto" w:fill="1F4E78"/>
            <w:tcMar>
              <w:top w:w="80" w:type="dxa"/>
              <w:left w:w="100" w:type="dxa"/>
              <w:bottom w:w="80" w:type="dxa"/>
              <w:right w:w="100" w:type="dxa"/>
            </w:tcMar>
            <w:vAlign w:val="center"/>
          </w:tcPr>
          <w:p w14:paraId="142FD2E9" w14:textId="77777777" w:rsidR="002A41D4" w:rsidRDefault="00000000">
            <w:pPr>
              <w:spacing w:after="40" w:line="252" w:lineRule="auto"/>
              <w:jc w:val="center"/>
            </w:pPr>
            <w:r>
              <w:rPr>
                <w:b/>
                <w:color w:val="FFFFFF"/>
                <w:sz w:val="19"/>
              </w:rPr>
              <w:t>Compliance item</w:t>
            </w:r>
          </w:p>
        </w:tc>
        <w:tc>
          <w:tcPr>
            <w:tcW w:w="1152" w:type="dxa"/>
            <w:shd w:val="clear" w:color="auto" w:fill="1F4E78"/>
            <w:tcMar>
              <w:top w:w="80" w:type="dxa"/>
              <w:left w:w="100" w:type="dxa"/>
              <w:bottom w:w="80" w:type="dxa"/>
              <w:right w:w="100" w:type="dxa"/>
            </w:tcMar>
            <w:vAlign w:val="center"/>
          </w:tcPr>
          <w:p w14:paraId="09BAEC65" w14:textId="77777777" w:rsidR="002A41D4" w:rsidRDefault="00000000">
            <w:pPr>
              <w:spacing w:after="40" w:line="252" w:lineRule="auto"/>
              <w:jc w:val="center"/>
            </w:pPr>
            <w:r>
              <w:rPr>
                <w:b/>
                <w:color w:val="FFFFFF"/>
                <w:sz w:val="19"/>
              </w:rPr>
              <w:t>Yes</w:t>
            </w:r>
          </w:p>
        </w:tc>
        <w:tc>
          <w:tcPr>
            <w:tcW w:w="1152" w:type="dxa"/>
            <w:shd w:val="clear" w:color="auto" w:fill="1F4E78"/>
            <w:tcMar>
              <w:top w:w="80" w:type="dxa"/>
              <w:left w:w="100" w:type="dxa"/>
              <w:bottom w:w="80" w:type="dxa"/>
              <w:right w:w="100" w:type="dxa"/>
            </w:tcMar>
            <w:vAlign w:val="center"/>
          </w:tcPr>
          <w:p w14:paraId="630B978F" w14:textId="77777777" w:rsidR="002A41D4" w:rsidRDefault="00000000">
            <w:pPr>
              <w:spacing w:after="40" w:line="252" w:lineRule="auto"/>
              <w:jc w:val="center"/>
            </w:pPr>
            <w:r>
              <w:rPr>
                <w:b/>
                <w:color w:val="FFFFFF"/>
                <w:sz w:val="19"/>
              </w:rPr>
              <w:t>No</w:t>
            </w:r>
          </w:p>
        </w:tc>
        <w:tc>
          <w:tcPr>
            <w:tcW w:w="1440" w:type="dxa"/>
            <w:shd w:val="clear" w:color="auto" w:fill="1F4E78"/>
            <w:tcMar>
              <w:top w:w="80" w:type="dxa"/>
              <w:left w:w="100" w:type="dxa"/>
              <w:bottom w:w="80" w:type="dxa"/>
              <w:right w:w="100" w:type="dxa"/>
            </w:tcMar>
            <w:vAlign w:val="center"/>
          </w:tcPr>
          <w:p w14:paraId="4EC243FB" w14:textId="77777777" w:rsidR="002A41D4" w:rsidRDefault="00000000">
            <w:pPr>
              <w:spacing w:after="40" w:line="252" w:lineRule="auto"/>
              <w:jc w:val="center"/>
            </w:pPr>
            <w:r>
              <w:rPr>
                <w:b/>
                <w:color w:val="FFFFFF"/>
                <w:sz w:val="19"/>
              </w:rPr>
              <w:t>Notes</w:t>
            </w:r>
          </w:p>
        </w:tc>
      </w:tr>
      <w:tr w:rsidR="002A41D4" w14:paraId="20E71266" w14:textId="77777777">
        <w:trPr>
          <w:jc w:val="center"/>
        </w:trPr>
        <w:tc>
          <w:tcPr>
            <w:tcW w:w="6192" w:type="dxa"/>
            <w:tcMar>
              <w:top w:w="80" w:type="dxa"/>
              <w:left w:w="100" w:type="dxa"/>
              <w:bottom w:w="80" w:type="dxa"/>
              <w:right w:w="100" w:type="dxa"/>
            </w:tcMar>
            <w:vAlign w:val="center"/>
          </w:tcPr>
          <w:p w14:paraId="3A803D0A" w14:textId="77777777" w:rsidR="002A41D4" w:rsidRDefault="00000000">
            <w:pPr>
              <w:spacing w:after="40" w:line="252" w:lineRule="auto"/>
            </w:pPr>
            <w:r>
              <w:rPr>
                <w:sz w:val="18"/>
              </w:rPr>
              <w:lastRenderedPageBreak/>
              <w:t>Authority active and in good standing</w:t>
            </w:r>
          </w:p>
        </w:tc>
        <w:tc>
          <w:tcPr>
            <w:tcW w:w="1152" w:type="dxa"/>
            <w:tcMar>
              <w:top w:w="80" w:type="dxa"/>
              <w:left w:w="100" w:type="dxa"/>
              <w:bottom w:w="80" w:type="dxa"/>
              <w:right w:w="100" w:type="dxa"/>
            </w:tcMar>
            <w:vAlign w:val="center"/>
          </w:tcPr>
          <w:p w14:paraId="64B2835E" w14:textId="77777777" w:rsidR="002A41D4" w:rsidRDefault="00000000">
            <w:pPr>
              <w:spacing w:after="40" w:line="252" w:lineRule="auto"/>
              <w:jc w:val="center"/>
            </w:pPr>
            <w:r>
              <w:rPr>
                <w:sz w:val="18"/>
              </w:rPr>
              <w:t>☐</w:t>
            </w:r>
          </w:p>
        </w:tc>
        <w:tc>
          <w:tcPr>
            <w:tcW w:w="1152" w:type="dxa"/>
            <w:tcMar>
              <w:top w:w="80" w:type="dxa"/>
              <w:left w:w="100" w:type="dxa"/>
              <w:bottom w:w="80" w:type="dxa"/>
              <w:right w:w="100" w:type="dxa"/>
            </w:tcMar>
            <w:vAlign w:val="center"/>
          </w:tcPr>
          <w:p w14:paraId="2F66AC14" w14:textId="77777777" w:rsidR="002A41D4" w:rsidRDefault="00000000">
            <w:pPr>
              <w:spacing w:after="40" w:line="252" w:lineRule="auto"/>
              <w:jc w:val="center"/>
            </w:pPr>
            <w:r>
              <w:rPr>
                <w:sz w:val="18"/>
              </w:rPr>
              <w:t>☐</w:t>
            </w:r>
          </w:p>
        </w:tc>
        <w:tc>
          <w:tcPr>
            <w:tcW w:w="1440" w:type="dxa"/>
            <w:tcMar>
              <w:top w:w="80" w:type="dxa"/>
              <w:left w:w="100" w:type="dxa"/>
              <w:bottom w:w="80" w:type="dxa"/>
              <w:right w:w="100" w:type="dxa"/>
            </w:tcMar>
            <w:vAlign w:val="center"/>
          </w:tcPr>
          <w:p w14:paraId="10E44992" w14:textId="77777777" w:rsidR="002A41D4" w:rsidRDefault="002A41D4">
            <w:pPr>
              <w:spacing w:after="40" w:line="252" w:lineRule="auto"/>
            </w:pPr>
          </w:p>
        </w:tc>
      </w:tr>
      <w:tr w:rsidR="002A41D4" w14:paraId="07D38FF8" w14:textId="77777777">
        <w:trPr>
          <w:jc w:val="center"/>
        </w:trPr>
        <w:tc>
          <w:tcPr>
            <w:tcW w:w="6192" w:type="dxa"/>
            <w:tcMar>
              <w:top w:w="80" w:type="dxa"/>
              <w:left w:w="100" w:type="dxa"/>
              <w:bottom w:w="80" w:type="dxa"/>
              <w:right w:w="100" w:type="dxa"/>
            </w:tcMar>
            <w:vAlign w:val="center"/>
          </w:tcPr>
          <w:p w14:paraId="5BB99AE9" w14:textId="77777777" w:rsidR="002A41D4" w:rsidRDefault="00000000">
            <w:pPr>
              <w:spacing w:after="40" w:line="252" w:lineRule="auto"/>
            </w:pPr>
            <w:r>
              <w:rPr>
                <w:sz w:val="18"/>
              </w:rPr>
              <w:t>No unsatisfied out-of-service order or unresolved safety suspension</w:t>
            </w:r>
          </w:p>
        </w:tc>
        <w:tc>
          <w:tcPr>
            <w:tcW w:w="1152" w:type="dxa"/>
            <w:tcMar>
              <w:top w:w="80" w:type="dxa"/>
              <w:left w:w="100" w:type="dxa"/>
              <w:bottom w:w="80" w:type="dxa"/>
              <w:right w:w="100" w:type="dxa"/>
            </w:tcMar>
            <w:vAlign w:val="center"/>
          </w:tcPr>
          <w:p w14:paraId="7A78BDE6" w14:textId="77777777" w:rsidR="002A41D4" w:rsidRDefault="00000000">
            <w:pPr>
              <w:spacing w:after="40" w:line="252" w:lineRule="auto"/>
              <w:jc w:val="center"/>
            </w:pPr>
            <w:r>
              <w:rPr>
                <w:sz w:val="18"/>
              </w:rPr>
              <w:t>☐</w:t>
            </w:r>
          </w:p>
        </w:tc>
        <w:tc>
          <w:tcPr>
            <w:tcW w:w="1152" w:type="dxa"/>
            <w:tcMar>
              <w:top w:w="80" w:type="dxa"/>
              <w:left w:w="100" w:type="dxa"/>
              <w:bottom w:w="80" w:type="dxa"/>
              <w:right w:w="100" w:type="dxa"/>
            </w:tcMar>
            <w:vAlign w:val="center"/>
          </w:tcPr>
          <w:p w14:paraId="051A17EB" w14:textId="77777777" w:rsidR="002A41D4" w:rsidRDefault="00000000">
            <w:pPr>
              <w:spacing w:after="40" w:line="252" w:lineRule="auto"/>
              <w:jc w:val="center"/>
            </w:pPr>
            <w:r>
              <w:rPr>
                <w:sz w:val="18"/>
              </w:rPr>
              <w:t>☐</w:t>
            </w:r>
          </w:p>
        </w:tc>
        <w:tc>
          <w:tcPr>
            <w:tcW w:w="1440" w:type="dxa"/>
            <w:tcMar>
              <w:top w:w="80" w:type="dxa"/>
              <w:left w:w="100" w:type="dxa"/>
              <w:bottom w:w="80" w:type="dxa"/>
              <w:right w:w="100" w:type="dxa"/>
            </w:tcMar>
            <w:vAlign w:val="center"/>
          </w:tcPr>
          <w:p w14:paraId="5514537C" w14:textId="77777777" w:rsidR="002A41D4" w:rsidRDefault="002A41D4">
            <w:pPr>
              <w:spacing w:after="40" w:line="252" w:lineRule="auto"/>
            </w:pPr>
          </w:p>
        </w:tc>
      </w:tr>
      <w:tr w:rsidR="002A41D4" w14:paraId="2A0EA67F" w14:textId="77777777">
        <w:trPr>
          <w:jc w:val="center"/>
        </w:trPr>
        <w:tc>
          <w:tcPr>
            <w:tcW w:w="6192" w:type="dxa"/>
            <w:tcMar>
              <w:top w:w="80" w:type="dxa"/>
              <w:left w:w="100" w:type="dxa"/>
              <w:bottom w:w="80" w:type="dxa"/>
              <w:right w:w="100" w:type="dxa"/>
            </w:tcMar>
            <w:vAlign w:val="center"/>
          </w:tcPr>
          <w:p w14:paraId="5A46E15A" w14:textId="77777777" w:rsidR="002A41D4" w:rsidRDefault="00000000">
            <w:pPr>
              <w:spacing w:after="40" w:line="252" w:lineRule="auto"/>
            </w:pPr>
            <w:r>
              <w:rPr>
                <w:sz w:val="18"/>
              </w:rPr>
              <w:t>No rebrokering or dispatching under another carrier authority without written approval</w:t>
            </w:r>
          </w:p>
        </w:tc>
        <w:tc>
          <w:tcPr>
            <w:tcW w:w="1152" w:type="dxa"/>
            <w:tcMar>
              <w:top w:w="80" w:type="dxa"/>
              <w:left w:w="100" w:type="dxa"/>
              <w:bottom w:w="80" w:type="dxa"/>
              <w:right w:w="100" w:type="dxa"/>
            </w:tcMar>
            <w:vAlign w:val="center"/>
          </w:tcPr>
          <w:p w14:paraId="6C4025BD" w14:textId="77777777" w:rsidR="002A41D4" w:rsidRDefault="00000000">
            <w:pPr>
              <w:spacing w:after="40" w:line="252" w:lineRule="auto"/>
              <w:jc w:val="center"/>
            </w:pPr>
            <w:r>
              <w:rPr>
                <w:sz w:val="18"/>
              </w:rPr>
              <w:t>☐</w:t>
            </w:r>
          </w:p>
        </w:tc>
        <w:tc>
          <w:tcPr>
            <w:tcW w:w="1152" w:type="dxa"/>
            <w:tcMar>
              <w:top w:w="80" w:type="dxa"/>
              <w:left w:w="100" w:type="dxa"/>
              <w:bottom w:w="80" w:type="dxa"/>
              <w:right w:w="100" w:type="dxa"/>
            </w:tcMar>
            <w:vAlign w:val="center"/>
          </w:tcPr>
          <w:p w14:paraId="73F4C103" w14:textId="77777777" w:rsidR="002A41D4" w:rsidRDefault="00000000">
            <w:pPr>
              <w:spacing w:after="40" w:line="252" w:lineRule="auto"/>
              <w:jc w:val="center"/>
            </w:pPr>
            <w:r>
              <w:rPr>
                <w:sz w:val="18"/>
              </w:rPr>
              <w:t>☐</w:t>
            </w:r>
          </w:p>
        </w:tc>
        <w:tc>
          <w:tcPr>
            <w:tcW w:w="1440" w:type="dxa"/>
            <w:tcMar>
              <w:top w:w="80" w:type="dxa"/>
              <w:left w:w="100" w:type="dxa"/>
              <w:bottom w:w="80" w:type="dxa"/>
              <w:right w:w="100" w:type="dxa"/>
            </w:tcMar>
            <w:vAlign w:val="center"/>
          </w:tcPr>
          <w:p w14:paraId="0F9D8BF3" w14:textId="77777777" w:rsidR="002A41D4" w:rsidRDefault="002A41D4">
            <w:pPr>
              <w:spacing w:after="40" w:line="252" w:lineRule="auto"/>
            </w:pPr>
          </w:p>
        </w:tc>
      </w:tr>
      <w:tr w:rsidR="002A41D4" w14:paraId="581CC997" w14:textId="77777777">
        <w:trPr>
          <w:jc w:val="center"/>
        </w:trPr>
        <w:tc>
          <w:tcPr>
            <w:tcW w:w="6192" w:type="dxa"/>
            <w:tcMar>
              <w:top w:w="80" w:type="dxa"/>
              <w:left w:w="100" w:type="dxa"/>
              <w:bottom w:w="80" w:type="dxa"/>
              <w:right w:w="100" w:type="dxa"/>
            </w:tcMar>
            <w:vAlign w:val="center"/>
          </w:tcPr>
          <w:p w14:paraId="0F1618FA" w14:textId="77777777" w:rsidR="002A41D4" w:rsidRDefault="00000000">
            <w:pPr>
              <w:spacing w:after="40" w:line="252" w:lineRule="auto"/>
            </w:pPr>
            <w:r>
              <w:rPr>
                <w:sz w:val="18"/>
              </w:rPr>
              <w:t>No known cargo theft, fraud, or identity mismatch issue requiring escalation</w:t>
            </w:r>
          </w:p>
        </w:tc>
        <w:tc>
          <w:tcPr>
            <w:tcW w:w="1152" w:type="dxa"/>
            <w:tcMar>
              <w:top w:w="80" w:type="dxa"/>
              <w:left w:w="100" w:type="dxa"/>
              <w:bottom w:w="80" w:type="dxa"/>
              <w:right w:w="100" w:type="dxa"/>
            </w:tcMar>
            <w:vAlign w:val="center"/>
          </w:tcPr>
          <w:p w14:paraId="5DC8E332" w14:textId="77777777" w:rsidR="002A41D4" w:rsidRDefault="00000000">
            <w:pPr>
              <w:spacing w:after="40" w:line="252" w:lineRule="auto"/>
              <w:jc w:val="center"/>
            </w:pPr>
            <w:r>
              <w:rPr>
                <w:sz w:val="18"/>
              </w:rPr>
              <w:t>☐</w:t>
            </w:r>
          </w:p>
        </w:tc>
        <w:tc>
          <w:tcPr>
            <w:tcW w:w="1152" w:type="dxa"/>
            <w:tcMar>
              <w:top w:w="80" w:type="dxa"/>
              <w:left w:w="100" w:type="dxa"/>
              <w:bottom w:w="80" w:type="dxa"/>
              <w:right w:w="100" w:type="dxa"/>
            </w:tcMar>
            <w:vAlign w:val="center"/>
          </w:tcPr>
          <w:p w14:paraId="7EC0CDBA" w14:textId="77777777" w:rsidR="002A41D4" w:rsidRDefault="00000000">
            <w:pPr>
              <w:spacing w:after="40" w:line="252" w:lineRule="auto"/>
              <w:jc w:val="center"/>
            </w:pPr>
            <w:r>
              <w:rPr>
                <w:sz w:val="18"/>
              </w:rPr>
              <w:t>☐</w:t>
            </w:r>
          </w:p>
        </w:tc>
        <w:tc>
          <w:tcPr>
            <w:tcW w:w="1440" w:type="dxa"/>
            <w:tcMar>
              <w:top w:w="80" w:type="dxa"/>
              <w:left w:w="100" w:type="dxa"/>
              <w:bottom w:w="80" w:type="dxa"/>
              <w:right w:w="100" w:type="dxa"/>
            </w:tcMar>
            <w:vAlign w:val="center"/>
          </w:tcPr>
          <w:p w14:paraId="45A14D3C" w14:textId="77777777" w:rsidR="002A41D4" w:rsidRDefault="002A41D4">
            <w:pPr>
              <w:spacing w:after="40" w:line="252" w:lineRule="auto"/>
            </w:pPr>
          </w:p>
        </w:tc>
      </w:tr>
      <w:tr w:rsidR="002A41D4" w14:paraId="357E3EC7" w14:textId="77777777">
        <w:trPr>
          <w:jc w:val="center"/>
        </w:trPr>
        <w:tc>
          <w:tcPr>
            <w:tcW w:w="6192" w:type="dxa"/>
            <w:tcMar>
              <w:top w:w="80" w:type="dxa"/>
              <w:left w:w="100" w:type="dxa"/>
              <w:bottom w:w="80" w:type="dxa"/>
              <w:right w:w="100" w:type="dxa"/>
            </w:tcMar>
            <w:vAlign w:val="center"/>
          </w:tcPr>
          <w:p w14:paraId="636E9B0B" w14:textId="77777777" w:rsidR="002A41D4" w:rsidRDefault="00000000">
            <w:pPr>
              <w:spacing w:after="40" w:line="252" w:lineRule="auto"/>
            </w:pPr>
            <w:r>
              <w:rPr>
                <w:sz w:val="18"/>
              </w:rPr>
              <w:t>Drivers and equipment used on brokered loads are properly qualified and insured</w:t>
            </w:r>
          </w:p>
        </w:tc>
        <w:tc>
          <w:tcPr>
            <w:tcW w:w="1152" w:type="dxa"/>
            <w:tcMar>
              <w:top w:w="80" w:type="dxa"/>
              <w:left w:w="100" w:type="dxa"/>
              <w:bottom w:w="80" w:type="dxa"/>
              <w:right w:w="100" w:type="dxa"/>
            </w:tcMar>
            <w:vAlign w:val="center"/>
          </w:tcPr>
          <w:p w14:paraId="253ED222" w14:textId="77777777" w:rsidR="002A41D4" w:rsidRDefault="00000000">
            <w:pPr>
              <w:spacing w:after="40" w:line="252" w:lineRule="auto"/>
              <w:jc w:val="center"/>
            </w:pPr>
            <w:r>
              <w:rPr>
                <w:sz w:val="18"/>
              </w:rPr>
              <w:t>☐</w:t>
            </w:r>
          </w:p>
        </w:tc>
        <w:tc>
          <w:tcPr>
            <w:tcW w:w="1152" w:type="dxa"/>
            <w:tcMar>
              <w:top w:w="80" w:type="dxa"/>
              <w:left w:w="100" w:type="dxa"/>
              <w:bottom w:w="80" w:type="dxa"/>
              <w:right w:w="100" w:type="dxa"/>
            </w:tcMar>
            <w:vAlign w:val="center"/>
          </w:tcPr>
          <w:p w14:paraId="761033B9" w14:textId="77777777" w:rsidR="002A41D4" w:rsidRDefault="00000000">
            <w:pPr>
              <w:spacing w:after="40" w:line="252" w:lineRule="auto"/>
              <w:jc w:val="center"/>
            </w:pPr>
            <w:r>
              <w:rPr>
                <w:sz w:val="18"/>
              </w:rPr>
              <w:t>☐</w:t>
            </w:r>
          </w:p>
        </w:tc>
        <w:tc>
          <w:tcPr>
            <w:tcW w:w="1440" w:type="dxa"/>
            <w:tcMar>
              <w:top w:w="80" w:type="dxa"/>
              <w:left w:w="100" w:type="dxa"/>
              <w:bottom w:w="80" w:type="dxa"/>
              <w:right w:w="100" w:type="dxa"/>
            </w:tcMar>
            <w:vAlign w:val="center"/>
          </w:tcPr>
          <w:p w14:paraId="669D2416" w14:textId="77777777" w:rsidR="002A41D4" w:rsidRDefault="002A41D4">
            <w:pPr>
              <w:spacing w:after="40" w:line="252" w:lineRule="auto"/>
            </w:pPr>
          </w:p>
        </w:tc>
      </w:tr>
    </w:tbl>
    <w:p w14:paraId="473B2984" w14:textId="77777777" w:rsidR="002A41D4" w:rsidRDefault="00000000">
      <w:r>
        <w:t>If any answer above is adverse, explain: ______________________________________________________________________________________</w:t>
      </w:r>
    </w:p>
    <w:p w14:paraId="43B482E5" w14:textId="77777777" w:rsidR="002A41D4" w:rsidRDefault="00000000">
      <w:r>
        <w:br w:type="page"/>
      </w:r>
    </w:p>
    <w:p w14:paraId="7F0E7224" w14:textId="77777777" w:rsidR="002A41D4" w:rsidRDefault="00000000">
      <w:pPr>
        <w:pStyle w:val="SectionHead"/>
      </w:pPr>
      <w:r>
        <w:lastRenderedPageBreak/>
        <w:t>5. Insurance Requirements</w:t>
      </w:r>
    </w:p>
    <w:p w14:paraId="683DBEF2" w14:textId="77777777" w:rsidR="002A41D4" w:rsidRDefault="00000000">
      <w:pPr>
        <w:pStyle w:val="PacketSubtitle"/>
      </w:pPr>
      <w:r>
        <w:t>Baseline limits for carrier setup under Ascension &amp; Associates LLC</w:t>
      </w:r>
    </w:p>
    <w:tbl>
      <w:tblPr>
        <w:tblW w:w="0" w:type="auto"/>
        <w:jc w:val="center"/>
        <w:tblBorders>
          <w:top w:val="single" w:sz="6" w:space="0" w:color="C7CFD9"/>
          <w:left w:val="single" w:sz="6" w:space="0" w:color="C7CFD9"/>
          <w:bottom w:val="single" w:sz="6" w:space="0" w:color="C7CFD9"/>
          <w:right w:val="single" w:sz="6" w:space="0" w:color="C7CFD9"/>
          <w:insideH w:val="single" w:sz="6" w:space="0" w:color="C7CFD9"/>
          <w:insideV w:val="single" w:sz="6" w:space="0" w:color="C7CFD9"/>
        </w:tblBorders>
        <w:tblLayout w:type="fixed"/>
        <w:tblLook w:val="04A0" w:firstRow="1" w:lastRow="0" w:firstColumn="1" w:lastColumn="0" w:noHBand="0" w:noVBand="1"/>
      </w:tblPr>
      <w:tblGrid>
        <w:gridCol w:w="4032"/>
        <w:gridCol w:w="2088"/>
        <w:gridCol w:w="3168"/>
      </w:tblGrid>
      <w:tr w:rsidR="002A41D4" w14:paraId="44856A51" w14:textId="77777777">
        <w:trPr>
          <w:jc w:val="center"/>
        </w:trPr>
        <w:tc>
          <w:tcPr>
            <w:tcW w:w="4032" w:type="dxa"/>
            <w:shd w:val="clear" w:color="auto" w:fill="1F4E78"/>
            <w:tcMar>
              <w:top w:w="80" w:type="dxa"/>
              <w:left w:w="100" w:type="dxa"/>
              <w:bottom w:w="80" w:type="dxa"/>
              <w:right w:w="100" w:type="dxa"/>
            </w:tcMar>
            <w:vAlign w:val="center"/>
          </w:tcPr>
          <w:p w14:paraId="23D32B19" w14:textId="77777777" w:rsidR="002A41D4" w:rsidRDefault="00000000">
            <w:pPr>
              <w:spacing w:after="40" w:line="252" w:lineRule="auto"/>
              <w:jc w:val="center"/>
            </w:pPr>
            <w:r>
              <w:rPr>
                <w:b/>
                <w:color w:val="FFFFFF"/>
                <w:sz w:val="19"/>
              </w:rPr>
              <w:t>Coverage</w:t>
            </w:r>
          </w:p>
        </w:tc>
        <w:tc>
          <w:tcPr>
            <w:tcW w:w="2088" w:type="dxa"/>
            <w:shd w:val="clear" w:color="auto" w:fill="1F4E78"/>
            <w:tcMar>
              <w:top w:w="80" w:type="dxa"/>
              <w:left w:w="100" w:type="dxa"/>
              <w:bottom w:w="80" w:type="dxa"/>
              <w:right w:w="100" w:type="dxa"/>
            </w:tcMar>
            <w:vAlign w:val="center"/>
          </w:tcPr>
          <w:p w14:paraId="7729281C" w14:textId="77777777" w:rsidR="002A41D4" w:rsidRDefault="00000000">
            <w:pPr>
              <w:spacing w:after="40" w:line="252" w:lineRule="auto"/>
              <w:jc w:val="center"/>
            </w:pPr>
            <w:r>
              <w:rPr>
                <w:b/>
                <w:color w:val="FFFFFF"/>
                <w:sz w:val="19"/>
              </w:rPr>
              <w:t>Minimum</w:t>
            </w:r>
          </w:p>
        </w:tc>
        <w:tc>
          <w:tcPr>
            <w:tcW w:w="3168" w:type="dxa"/>
            <w:shd w:val="clear" w:color="auto" w:fill="1F4E78"/>
            <w:tcMar>
              <w:top w:w="80" w:type="dxa"/>
              <w:left w:w="100" w:type="dxa"/>
              <w:bottom w:w="80" w:type="dxa"/>
              <w:right w:w="100" w:type="dxa"/>
            </w:tcMar>
            <w:vAlign w:val="center"/>
          </w:tcPr>
          <w:p w14:paraId="00F4A5B3" w14:textId="77777777" w:rsidR="002A41D4" w:rsidRDefault="00000000">
            <w:pPr>
              <w:spacing w:after="40" w:line="252" w:lineRule="auto"/>
              <w:jc w:val="center"/>
            </w:pPr>
            <w:r>
              <w:rPr>
                <w:b/>
                <w:color w:val="FFFFFF"/>
                <w:sz w:val="19"/>
              </w:rPr>
              <w:t>Notes</w:t>
            </w:r>
          </w:p>
        </w:tc>
      </w:tr>
      <w:tr w:rsidR="002A41D4" w14:paraId="6680FE57" w14:textId="77777777">
        <w:trPr>
          <w:jc w:val="center"/>
        </w:trPr>
        <w:tc>
          <w:tcPr>
            <w:tcW w:w="4032" w:type="dxa"/>
            <w:tcMar>
              <w:top w:w="80" w:type="dxa"/>
              <w:left w:w="100" w:type="dxa"/>
              <w:bottom w:w="80" w:type="dxa"/>
              <w:right w:w="100" w:type="dxa"/>
            </w:tcMar>
            <w:vAlign w:val="center"/>
          </w:tcPr>
          <w:p w14:paraId="4D4C784C" w14:textId="77777777" w:rsidR="002A41D4" w:rsidRDefault="00000000">
            <w:pPr>
              <w:spacing w:after="40" w:line="252" w:lineRule="auto"/>
            </w:pPr>
            <w:r>
              <w:rPr>
                <w:sz w:val="18"/>
              </w:rPr>
              <w:t>Automobile liability</w:t>
            </w:r>
          </w:p>
        </w:tc>
        <w:tc>
          <w:tcPr>
            <w:tcW w:w="2088" w:type="dxa"/>
            <w:tcMar>
              <w:top w:w="80" w:type="dxa"/>
              <w:left w:w="100" w:type="dxa"/>
              <w:bottom w:w="80" w:type="dxa"/>
              <w:right w:w="100" w:type="dxa"/>
            </w:tcMar>
            <w:vAlign w:val="center"/>
          </w:tcPr>
          <w:p w14:paraId="09AFDCDF" w14:textId="77777777" w:rsidR="002A41D4" w:rsidRDefault="00000000">
            <w:pPr>
              <w:spacing w:after="40" w:line="252" w:lineRule="auto"/>
            </w:pPr>
            <w:r>
              <w:rPr>
                <w:sz w:val="18"/>
              </w:rPr>
              <w:t>$1,000,000 CSL</w:t>
            </w:r>
          </w:p>
        </w:tc>
        <w:tc>
          <w:tcPr>
            <w:tcW w:w="3168" w:type="dxa"/>
            <w:tcMar>
              <w:top w:w="80" w:type="dxa"/>
              <w:left w:w="100" w:type="dxa"/>
              <w:bottom w:w="80" w:type="dxa"/>
              <w:right w:w="100" w:type="dxa"/>
            </w:tcMar>
            <w:vAlign w:val="center"/>
          </w:tcPr>
          <w:p w14:paraId="3AB901A6" w14:textId="77777777" w:rsidR="002A41D4" w:rsidRDefault="00000000">
            <w:pPr>
              <w:spacing w:after="40" w:line="252" w:lineRule="auto"/>
            </w:pPr>
            <w:r>
              <w:rPr>
                <w:sz w:val="18"/>
              </w:rPr>
              <w:t>Required</w:t>
            </w:r>
          </w:p>
        </w:tc>
      </w:tr>
      <w:tr w:rsidR="002A41D4" w14:paraId="1D375F83" w14:textId="77777777">
        <w:trPr>
          <w:jc w:val="center"/>
        </w:trPr>
        <w:tc>
          <w:tcPr>
            <w:tcW w:w="4032" w:type="dxa"/>
            <w:tcMar>
              <w:top w:w="80" w:type="dxa"/>
              <w:left w:w="100" w:type="dxa"/>
              <w:bottom w:w="80" w:type="dxa"/>
              <w:right w:w="100" w:type="dxa"/>
            </w:tcMar>
            <w:vAlign w:val="center"/>
          </w:tcPr>
          <w:p w14:paraId="7DAA42EB" w14:textId="77777777" w:rsidR="002A41D4" w:rsidRDefault="00000000">
            <w:pPr>
              <w:spacing w:after="40" w:line="252" w:lineRule="auto"/>
            </w:pPr>
            <w:r>
              <w:rPr>
                <w:sz w:val="18"/>
              </w:rPr>
              <w:t>Motor truck cargo</w:t>
            </w:r>
          </w:p>
        </w:tc>
        <w:tc>
          <w:tcPr>
            <w:tcW w:w="2088" w:type="dxa"/>
            <w:tcMar>
              <w:top w:w="80" w:type="dxa"/>
              <w:left w:w="100" w:type="dxa"/>
              <w:bottom w:w="80" w:type="dxa"/>
              <w:right w:w="100" w:type="dxa"/>
            </w:tcMar>
            <w:vAlign w:val="center"/>
          </w:tcPr>
          <w:p w14:paraId="07D6201E" w14:textId="77777777" w:rsidR="002A41D4" w:rsidRDefault="00000000">
            <w:pPr>
              <w:spacing w:after="40" w:line="252" w:lineRule="auto"/>
            </w:pPr>
            <w:r>
              <w:rPr>
                <w:sz w:val="18"/>
              </w:rPr>
              <w:t>$100,000 per occurrence</w:t>
            </w:r>
          </w:p>
        </w:tc>
        <w:tc>
          <w:tcPr>
            <w:tcW w:w="3168" w:type="dxa"/>
            <w:tcMar>
              <w:top w:w="80" w:type="dxa"/>
              <w:left w:w="100" w:type="dxa"/>
              <w:bottom w:w="80" w:type="dxa"/>
              <w:right w:w="100" w:type="dxa"/>
            </w:tcMar>
            <w:vAlign w:val="center"/>
          </w:tcPr>
          <w:p w14:paraId="3C9AE45C" w14:textId="77777777" w:rsidR="002A41D4" w:rsidRDefault="00000000">
            <w:pPr>
              <w:spacing w:after="40" w:line="252" w:lineRule="auto"/>
            </w:pPr>
            <w:r>
              <w:rPr>
                <w:sz w:val="18"/>
              </w:rPr>
              <w:t>Required; higher limits may be required case by case</w:t>
            </w:r>
          </w:p>
        </w:tc>
      </w:tr>
      <w:tr w:rsidR="002A41D4" w14:paraId="684DF180" w14:textId="77777777">
        <w:trPr>
          <w:jc w:val="center"/>
        </w:trPr>
        <w:tc>
          <w:tcPr>
            <w:tcW w:w="4032" w:type="dxa"/>
            <w:tcMar>
              <w:top w:w="80" w:type="dxa"/>
              <w:left w:w="100" w:type="dxa"/>
              <w:bottom w:w="80" w:type="dxa"/>
              <w:right w:w="100" w:type="dxa"/>
            </w:tcMar>
            <w:vAlign w:val="center"/>
          </w:tcPr>
          <w:p w14:paraId="7057E001" w14:textId="77777777" w:rsidR="002A41D4" w:rsidRDefault="00000000">
            <w:pPr>
              <w:spacing w:after="40" w:line="252" w:lineRule="auto"/>
            </w:pPr>
            <w:r>
              <w:rPr>
                <w:sz w:val="18"/>
              </w:rPr>
              <w:t>General liability</w:t>
            </w:r>
          </w:p>
        </w:tc>
        <w:tc>
          <w:tcPr>
            <w:tcW w:w="2088" w:type="dxa"/>
            <w:tcMar>
              <w:top w:w="80" w:type="dxa"/>
              <w:left w:w="100" w:type="dxa"/>
              <w:bottom w:w="80" w:type="dxa"/>
              <w:right w:w="100" w:type="dxa"/>
            </w:tcMar>
            <w:vAlign w:val="center"/>
          </w:tcPr>
          <w:p w14:paraId="76398823" w14:textId="77777777" w:rsidR="002A41D4" w:rsidRDefault="00000000">
            <w:pPr>
              <w:spacing w:after="40" w:line="252" w:lineRule="auto"/>
            </w:pPr>
            <w:r>
              <w:rPr>
                <w:sz w:val="18"/>
              </w:rPr>
              <w:t>$1,000,000</w:t>
            </w:r>
          </w:p>
        </w:tc>
        <w:tc>
          <w:tcPr>
            <w:tcW w:w="3168" w:type="dxa"/>
            <w:tcMar>
              <w:top w:w="80" w:type="dxa"/>
              <w:left w:w="100" w:type="dxa"/>
              <w:bottom w:w="80" w:type="dxa"/>
              <w:right w:w="100" w:type="dxa"/>
            </w:tcMar>
            <w:vAlign w:val="center"/>
          </w:tcPr>
          <w:p w14:paraId="182897A2" w14:textId="77777777" w:rsidR="002A41D4" w:rsidRDefault="00000000">
            <w:pPr>
              <w:spacing w:after="40" w:line="252" w:lineRule="auto"/>
            </w:pPr>
            <w:r>
              <w:rPr>
                <w:sz w:val="18"/>
              </w:rPr>
              <w:t>Preferred; may be required by customer or facility</w:t>
            </w:r>
          </w:p>
        </w:tc>
      </w:tr>
      <w:tr w:rsidR="002A41D4" w14:paraId="09709706" w14:textId="77777777">
        <w:trPr>
          <w:jc w:val="center"/>
        </w:trPr>
        <w:tc>
          <w:tcPr>
            <w:tcW w:w="4032" w:type="dxa"/>
            <w:tcMar>
              <w:top w:w="80" w:type="dxa"/>
              <w:left w:w="100" w:type="dxa"/>
              <w:bottom w:w="80" w:type="dxa"/>
              <w:right w:w="100" w:type="dxa"/>
            </w:tcMar>
            <w:vAlign w:val="center"/>
          </w:tcPr>
          <w:p w14:paraId="11369890" w14:textId="77777777" w:rsidR="002A41D4" w:rsidRDefault="00000000">
            <w:pPr>
              <w:spacing w:after="40" w:line="252" w:lineRule="auto"/>
            </w:pPr>
            <w:r>
              <w:rPr>
                <w:sz w:val="18"/>
              </w:rPr>
              <w:t>Workers' compensation</w:t>
            </w:r>
          </w:p>
        </w:tc>
        <w:tc>
          <w:tcPr>
            <w:tcW w:w="2088" w:type="dxa"/>
            <w:tcMar>
              <w:top w:w="80" w:type="dxa"/>
              <w:left w:w="100" w:type="dxa"/>
              <w:bottom w:w="80" w:type="dxa"/>
              <w:right w:w="100" w:type="dxa"/>
            </w:tcMar>
            <w:vAlign w:val="center"/>
          </w:tcPr>
          <w:p w14:paraId="768796B7" w14:textId="77777777" w:rsidR="002A41D4" w:rsidRDefault="00000000">
            <w:pPr>
              <w:spacing w:after="40" w:line="252" w:lineRule="auto"/>
            </w:pPr>
            <w:r>
              <w:rPr>
                <w:sz w:val="18"/>
              </w:rPr>
              <w:t>As required by law</w:t>
            </w:r>
          </w:p>
        </w:tc>
        <w:tc>
          <w:tcPr>
            <w:tcW w:w="3168" w:type="dxa"/>
            <w:tcMar>
              <w:top w:w="80" w:type="dxa"/>
              <w:left w:w="100" w:type="dxa"/>
              <w:bottom w:w="80" w:type="dxa"/>
              <w:right w:w="100" w:type="dxa"/>
            </w:tcMar>
            <w:vAlign w:val="center"/>
          </w:tcPr>
          <w:p w14:paraId="4AADD27B" w14:textId="77777777" w:rsidR="002A41D4" w:rsidRDefault="00000000">
            <w:pPr>
              <w:spacing w:after="40" w:line="252" w:lineRule="auto"/>
            </w:pPr>
            <w:r>
              <w:rPr>
                <w:sz w:val="18"/>
              </w:rPr>
              <w:t>Required where applicable</w:t>
            </w:r>
          </w:p>
        </w:tc>
      </w:tr>
      <w:tr w:rsidR="002A41D4" w14:paraId="51A2523C" w14:textId="77777777">
        <w:trPr>
          <w:jc w:val="center"/>
        </w:trPr>
        <w:tc>
          <w:tcPr>
            <w:tcW w:w="4032" w:type="dxa"/>
            <w:tcMar>
              <w:top w:w="80" w:type="dxa"/>
              <w:left w:w="100" w:type="dxa"/>
              <w:bottom w:w="80" w:type="dxa"/>
              <w:right w:w="100" w:type="dxa"/>
            </w:tcMar>
            <w:vAlign w:val="center"/>
          </w:tcPr>
          <w:p w14:paraId="3F5E6898" w14:textId="77777777" w:rsidR="002A41D4" w:rsidRDefault="00000000">
            <w:pPr>
              <w:spacing w:after="40" w:line="252" w:lineRule="auto"/>
            </w:pPr>
            <w:r>
              <w:rPr>
                <w:sz w:val="18"/>
              </w:rPr>
              <w:t>Additional shipment-specific coverage</w:t>
            </w:r>
          </w:p>
        </w:tc>
        <w:tc>
          <w:tcPr>
            <w:tcW w:w="2088" w:type="dxa"/>
            <w:tcMar>
              <w:top w:w="80" w:type="dxa"/>
              <w:left w:w="100" w:type="dxa"/>
              <w:bottom w:w="80" w:type="dxa"/>
              <w:right w:w="100" w:type="dxa"/>
            </w:tcMar>
            <w:vAlign w:val="center"/>
          </w:tcPr>
          <w:p w14:paraId="23DF5787" w14:textId="77777777" w:rsidR="002A41D4" w:rsidRDefault="00000000">
            <w:pPr>
              <w:spacing w:after="40" w:line="252" w:lineRule="auto"/>
            </w:pPr>
            <w:r>
              <w:rPr>
                <w:sz w:val="18"/>
              </w:rPr>
              <w:t>As instructed</w:t>
            </w:r>
          </w:p>
        </w:tc>
        <w:tc>
          <w:tcPr>
            <w:tcW w:w="3168" w:type="dxa"/>
            <w:tcMar>
              <w:top w:w="80" w:type="dxa"/>
              <w:left w:w="100" w:type="dxa"/>
              <w:bottom w:w="80" w:type="dxa"/>
              <w:right w:w="100" w:type="dxa"/>
            </w:tcMar>
            <w:vAlign w:val="center"/>
          </w:tcPr>
          <w:p w14:paraId="4A2D9462" w14:textId="77777777" w:rsidR="002A41D4" w:rsidRDefault="00000000">
            <w:pPr>
              <w:spacing w:after="40" w:line="252" w:lineRule="auto"/>
            </w:pPr>
            <w:r>
              <w:rPr>
                <w:sz w:val="18"/>
              </w:rPr>
              <w:t>May be required for high-value or specialized freight</w:t>
            </w:r>
          </w:p>
        </w:tc>
      </w:tr>
    </w:tbl>
    <w:p w14:paraId="5B39B172" w14:textId="77777777" w:rsidR="002A41D4" w:rsidRDefault="00000000">
      <w:pPr>
        <w:ind w:left="216"/>
      </w:pPr>
      <w:r>
        <w:rPr>
          <w:b/>
        </w:rPr>
        <w:t xml:space="preserve">• </w:t>
      </w:r>
      <w:r>
        <w:t>Carrier must provide a current certificate of insurance before dispatch and must immediately notify Broker of any lapse, cancellation, non-renewal, suspension, reduction, or material change in coverage.</w:t>
      </w:r>
    </w:p>
    <w:p w14:paraId="4F594099" w14:textId="77777777" w:rsidR="002A41D4" w:rsidRDefault="00000000">
      <w:pPr>
        <w:ind w:left="216"/>
      </w:pPr>
      <w:r>
        <w:rPr>
          <w:b/>
        </w:rPr>
        <w:t xml:space="preserve">• </w:t>
      </w:r>
      <w:r>
        <w:t>Certificate holder language, named insured information, and policy details must match the carrier authority and approved operating entity.</w:t>
      </w:r>
    </w:p>
    <w:p w14:paraId="2E1013C9" w14:textId="77777777" w:rsidR="002A41D4" w:rsidRDefault="00000000">
      <w:pPr>
        <w:ind w:left="216"/>
      </w:pPr>
      <w:r>
        <w:rPr>
          <w:b/>
        </w:rPr>
        <w:t xml:space="preserve">• </w:t>
      </w:r>
      <w:r>
        <w:t>The standard packet does not include refrigerated or food-grade operating requirements; those are handled through separate addenda only when needed.</w:t>
      </w:r>
    </w:p>
    <w:p w14:paraId="39D3D691" w14:textId="77777777" w:rsidR="002A41D4" w:rsidRDefault="00000000">
      <w:pPr>
        <w:pStyle w:val="SectionHead"/>
      </w:pPr>
      <w:r>
        <w:t>6. Payment &amp; Settlement Setup</w:t>
      </w:r>
    </w:p>
    <w:p w14:paraId="0EDB5CA2" w14:textId="77777777" w:rsidR="002A41D4" w:rsidRDefault="00000000">
      <w:pPr>
        <w:pStyle w:val="PacketSubtitle"/>
      </w:pPr>
      <w:r>
        <w:t>Documents and remittance controls</w:t>
      </w:r>
    </w:p>
    <w:p w14:paraId="107D722B" w14:textId="77777777" w:rsidR="002A41D4" w:rsidRDefault="00000000">
      <w:pPr>
        <w:ind w:left="216"/>
      </w:pPr>
      <w:r>
        <w:t>• Standard pay terms: Net 30 from receipt of complete invoice package and required supporting documents.</w:t>
      </w:r>
    </w:p>
    <w:p w14:paraId="3791A1C1" w14:textId="77777777" w:rsidR="002A41D4" w:rsidRDefault="00000000">
      <w:pPr>
        <w:ind w:left="216"/>
      </w:pPr>
      <w:r>
        <w:t>• Quick pay: Only if separately approved by Broker in writing.</w:t>
      </w:r>
    </w:p>
    <w:p w14:paraId="68F7438D" w14:textId="77777777" w:rsidR="002A41D4" w:rsidRDefault="00000000">
      <w:pPr>
        <w:ind w:left="216"/>
      </w:pPr>
      <w:r>
        <w:t>• Remittance method: ACH preferred; factor paid only with valid Notice of Assignment (NOA). Check only if separately approved by Broker.</w:t>
      </w:r>
    </w:p>
    <w:p w14:paraId="70E75B46" w14:textId="77777777" w:rsidR="002A41D4" w:rsidRDefault="00000000">
      <w:r>
        <w:t>Billing / document submission email: ronnie@ascensionandassociatesllc.com</w:t>
      </w:r>
    </w:p>
    <w:p w14:paraId="76A59193" w14:textId="77777777" w:rsidR="002A41D4" w:rsidRDefault="00000000">
      <w:pPr>
        <w:ind w:left="216"/>
      </w:pPr>
      <w:r>
        <w:rPr>
          <w:b/>
        </w:rPr>
        <w:t xml:space="preserve">• </w:t>
      </w:r>
      <w:r>
        <w:t>Required invoice support: rate confirmation, signed POD / delivery receipt, lumper receipt if applicable, and approved accessorial backup.</w:t>
      </w:r>
    </w:p>
    <w:p w14:paraId="48CEAC10" w14:textId="77777777" w:rsidR="002A41D4" w:rsidRDefault="00000000">
      <w:pPr>
        <w:ind w:left="216"/>
      </w:pPr>
      <w:r>
        <w:rPr>
          <w:b/>
        </w:rPr>
        <w:t xml:space="preserve">• </w:t>
      </w:r>
      <w:r>
        <w:t>Broker may hold settlement when there is a claim, duplicate invoice, factor conflict, fraud concern, missing document, or unresolved payee mismatch.</w:t>
      </w:r>
    </w:p>
    <w:p w14:paraId="3BABBECD" w14:textId="77777777" w:rsidR="002A41D4" w:rsidRDefault="00000000">
      <w:pPr>
        <w:pStyle w:val="SectionHead"/>
      </w:pPr>
      <w:r>
        <w:t>7. W-9 and Payee Verification</w:t>
      </w:r>
    </w:p>
    <w:p w14:paraId="46C381E8" w14:textId="77777777" w:rsidR="002A41D4" w:rsidRDefault="00000000">
      <w:pPr>
        <w:pStyle w:val="PacketSubtitle"/>
      </w:pPr>
      <w:r>
        <w:t>Tax and payee controls before release of funds</w:t>
      </w:r>
    </w:p>
    <w:p w14:paraId="555B8D67" w14:textId="77777777" w:rsidR="002A41D4" w:rsidRDefault="00000000">
      <w:pPr>
        <w:ind w:left="216"/>
      </w:pPr>
      <w:r>
        <w:rPr>
          <w:b/>
        </w:rPr>
        <w:t xml:space="preserve">• </w:t>
      </w:r>
      <w:r>
        <w:t>Carrier must submit a current, signed IRS Form W-9 that matches the legal payee name used for settlement.</w:t>
      </w:r>
    </w:p>
    <w:p w14:paraId="344C8661" w14:textId="77777777" w:rsidR="002A41D4" w:rsidRDefault="00000000">
      <w:pPr>
        <w:ind w:left="216"/>
      </w:pPr>
      <w:r>
        <w:rPr>
          <w:b/>
        </w:rPr>
        <w:t xml:space="preserve">• </w:t>
      </w:r>
      <w:r>
        <w:t>Any mismatch between W-9, operating authority, banking instructions, and factor paperwork may delay payment until resolved.</w:t>
      </w:r>
    </w:p>
    <w:p w14:paraId="76CC0888" w14:textId="77777777" w:rsidR="002A41D4" w:rsidRDefault="00000000">
      <w:pPr>
        <w:ind w:left="216"/>
      </w:pPr>
      <w:r>
        <w:rPr>
          <w:b/>
        </w:rPr>
        <w:t xml:space="preserve">• </w:t>
      </w:r>
      <w:r>
        <w:t>Broker may require additional identity verification before issuing first payment or changing remittance instructions.</w:t>
      </w:r>
    </w:p>
    <w:p w14:paraId="0C704CAF" w14:textId="77777777" w:rsidR="002A41D4" w:rsidRDefault="00000000">
      <w:pPr>
        <w:pStyle w:val="SectionHead"/>
      </w:pPr>
      <w:r>
        <w:lastRenderedPageBreak/>
        <w:t>8. Factoring / Notice of Assignment Procedures</w:t>
      </w:r>
    </w:p>
    <w:p w14:paraId="4B3A920A" w14:textId="77777777" w:rsidR="002A41D4" w:rsidRDefault="00000000">
      <w:pPr>
        <w:pStyle w:val="PacketSubtitle"/>
      </w:pPr>
      <w:r>
        <w:t>Use only when the carrier assigns receivables to a factor</w:t>
      </w:r>
    </w:p>
    <w:p w14:paraId="210179E1" w14:textId="77777777" w:rsidR="002A41D4" w:rsidRDefault="00000000">
      <w:pPr>
        <w:ind w:left="216"/>
      </w:pPr>
      <w:r>
        <w:rPr>
          <w:b/>
        </w:rPr>
        <w:t xml:space="preserve">• </w:t>
      </w:r>
      <w:r>
        <w:t>Carrier must disclose any factoring relationship before the first load is dispatched.</w:t>
      </w:r>
    </w:p>
    <w:p w14:paraId="50AD63F6" w14:textId="77777777" w:rsidR="002A41D4" w:rsidRDefault="00000000">
      <w:pPr>
        <w:ind w:left="216"/>
      </w:pPr>
      <w:r>
        <w:rPr>
          <w:b/>
        </w:rPr>
        <w:t xml:space="preserve">• </w:t>
      </w:r>
      <w:r>
        <w:t>Broker may rely solely on a written Notice of Assignment received from and verified with the factor.</w:t>
      </w:r>
    </w:p>
    <w:p w14:paraId="26E0A930" w14:textId="77777777" w:rsidR="002A41D4" w:rsidRDefault="00000000">
      <w:pPr>
        <w:ind w:left="216"/>
      </w:pPr>
      <w:r>
        <w:rPr>
          <w:b/>
        </w:rPr>
        <w:t xml:space="preserve">• </w:t>
      </w:r>
      <w:r>
        <w:t>Conflicting instructions from carrier and factor will pause payment until Broker confirms the valid remittance instruction in writing.</w:t>
      </w:r>
    </w:p>
    <w:p w14:paraId="13C76198" w14:textId="77777777" w:rsidR="002A41D4" w:rsidRDefault="00000000">
      <w:pPr>
        <w:pStyle w:val="SectionHead"/>
      </w:pPr>
      <w:r>
        <w:t>9. Broker Contact Information</w:t>
      </w:r>
    </w:p>
    <w:p w14:paraId="62F7BED0" w14:textId="77777777" w:rsidR="002A41D4" w:rsidRDefault="00000000">
      <w:pPr>
        <w:pStyle w:val="PacketSubtitle"/>
      </w:pPr>
      <w:r>
        <w:t>Operational contact details and legal notice structure</w:t>
      </w:r>
    </w:p>
    <w:p w14:paraId="55600D0D" w14:textId="77777777" w:rsidR="002A41D4" w:rsidRDefault="00000000">
      <w:r>
        <w:t>The operational contact page lists company name, phone, and email contacts while keeping the mailing address out of the public-facing setup page.</w:t>
      </w:r>
    </w:p>
    <w:p w14:paraId="60E17D3E" w14:textId="77777777" w:rsidR="002A41D4" w:rsidRDefault="00000000">
      <w:r>
        <w:t>Formal legal notices to Broker shall be directed to the address stated in this Agreement unless Broker designates a different notice address in writing.</w:t>
      </w:r>
    </w:p>
    <w:p w14:paraId="458EA557" w14:textId="77777777" w:rsidR="002A41D4" w:rsidRDefault="00000000">
      <w:pPr>
        <w:ind w:left="216"/>
      </w:pPr>
      <w:r>
        <w:t>• Broker representatives: Ronnie Wright, Managing Member; Tawanda Allgood, Managing Member.</w:t>
      </w:r>
    </w:p>
    <w:p w14:paraId="0C69D114" w14:textId="77777777" w:rsidR="002A41D4" w:rsidRDefault="00000000">
      <w:r>
        <w:t>Main phone: 980-535-5853</w:t>
      </w:r>
    </w:p>
    <w:p w14:paraId="528690E8" w14:textId="77777777" w:rsidR="002A41D4" w:rsidRDefault="00000000">
      <w:r>
        <w:t>Operations / dispatch email: ronnie@ascensionandassociatesllc.com</w:t>
      </w:r>
    </w:p>
    <w:p w14:paraId="0F71E74E" w14:textId="77777777" w:rsidR="002A41D4" w:rsidRDefault="00000000">
      <w:r>
        <w:t>Billing / accounting email: ronnie@ascensionandassociatesllc.com</w:t>
      </w:r>
    </w:p>
    <w:p w14:paraId="1FC358B4" w14:textId="77777777" w:rsidR="002A41D4" w:rsidRDefault="00000000">
      <w:r>
        <w:t>Carrier setup / documents email: ronnie@ascensionandassociatesllc.com</w:t>
      </w:r>
    </w:p>
    <w:p w14:paraId="242EC22A" w14:textId="77777777" w:rsidR="002A41D4" w:rsidRDefault="00000000">
      <w:r>
        <w:t>Legal notice address for final agreement only (not for general contact page): 3726 Glenwood Dr., Charlotte, NC 28208</w:t>
      </w:r>
    </w:p>
    <w:p w14:paraId="30DB97C1" w14:textId="77777777" w:rsidR="002A41D4" w:rsidRDefault="00000000">
      <w:pPr>
        <w:pStyle w:val="SectionHead"/>
      </w:pPr>
      <w:r>
        <w:t>10. Core Broker-Carrier Agreement Terms</w:t>
      </w:r>
    </w:p>
    <w:p w14:paraId="7359A06D" w14:textId="77777777" w:rsidR="002A41D4" w:rsidRDefault="00000000">
      <w:pPr>
        <w:pStyle w:val="PacketSubtitle"/>
      </w:pPr>
      <w:r>
        <w:t>Structured for flatbed and general freight operations</w:t>
      </w:r>
    </w:p>
    <w:p w14:paraId="506C6338" w14:textId="77777777" w:rsidR="002A41D4" w:rsidRDefault="00000000">
      <w:r>
        <w:rPr>
          <w:b/>
          <w:color w:val="163A59"/>
        </w:rPr>
        <w:t xml:space="preserve">Parties and scope. </w:t>
      </w:r>
      <w:r>
        <w:t>These terms govern shipments tendered by Ascension &amp; Associates LLC (Broker) to the signing motor carrier (Carrier). Each accepted rate confirmation becomes part of this Agreement.</w:t>
      </w:r>
    </w:p>
    <w:p w14:paraId="69272B4A" w14:textId="77777777" w:rsidR="002A41D4" w:rsidRDefault="00000000">
      <w:r>
        <w:rPr>
          <w:b/>
          <w:color w:val="163A59"/>
        </w:rPr>
        <w:t xml:space="preserve">Independent contractor. </w:t>
      </w:r>
      <w:r>
        <w:t>Carrier remains an independent contractor and retains control over its drivers, equipment, routing, methods of operation, and legal compliance.</w:t>
      </w:r>
    </w:p>
    <w:p w14:paraId="1EB4AED2" w14:textId="77777777" w:rsidR="002A41D4" w:rsidRDefault="00000000">
      <w:r>
        <w:rPr>
          <w:b/>
          <w:color w:val="163A59"/>
        </w:rPr>
        <w:t xml:space="preserve">Authority and compliance. </w:t>
      </w:r>
      <w:r>
        <w:t>Carrier represents that its operating authority is active and in good standing and that it will immediately report any suspension, revocation, fraud issue, conditional rating, or out-of-service event.</w:t>
      </w:r>
    </w:p>
    <w:p w14:paraId="14A36836" w14:textId="77777777" w:rsidR="002A41D4" w:rsidRDefault="00000000">
      <w:r>
        <w:rPr>
          <w:b/>
          <w:color w:val="163A59"/>
        </w:rPr>
        <w:t xml:space="preserve">No rebrokering / no double brokering. </w:t>
      </w:r>
      <w:r>
        <w:t>Carrier shall not rebroker, co-broker, or otherwise tender Broker freight to another carrier without prior written consent. Unauthorized subcontracting is a material breach.</w:t>
      </w:r>
    </w:p>
    <w:p w14:paraId="5BE1A2C0" w14:textId="77777777" w:rsidR="002A41D4" w:rsidRDefault="00000000">
      <w:r>
        <w:rPr>
          <w:b/>
          <w:color w:val="163A59"/>
        </w:rPr>
        <w:t xml:space="preserve">Equipment and securement. </w:t>
      </w:r>
      <w:r>
        <w:t>Carrier shall furnish safe, suitable equipment and is solely responsible for lawful operation, securement, tarping, blocking and bracing, weight distribution, and protection of the shipment.</w:t>
      </w:r>
    </w:p>
    <w:p w14:paraId="7A2D965C" w14:textId="77777777" w:rsidR="002A41D4" w:rsidRDefault="00000000">
      <w:r>
        <w:rPr>
          <w:b/>
          <w:color w:val="163A59"/>
        </w:rPr>
        <w:t xml:space="preserve">Insurance. </w:t>
      </w:r>
      <w:r>
        <w:t>Carrier shall maintain the insurance described in this packet, provide current certificates before dispatch, and disclose any lapse, cancellation, reduction, non-renewal, or material change immediately.</w:t>
      </w:r>
    </w:p>
    <w:p w14:paraId="41EE35DE" w14:textId="77777777" w:rsidR="002A41D4" w:rsidRDefault="00000000">
      <w:r>
        <w:rPr>
          <w:b/>
          <w:color w:val="163A59"/>
        </w:rPr>
        <w:t xml:space="preserve">Documentation and POD. </w:t>
      </w:r>
      <w:r>
        <w:t>Carrier shall preserve accurate bills of lading, delivery receipts, PODs, lumper receipts, and accessorial backup and shall provide legible copies promptly after delivery.</w:t>
      </w:r>
    </w:p>
    <w:p w14:paraId="6A955598" w14:textId="77777777" w:rsidR="002A41D4" w:rsidRDefault="00000000">
      <w:r>
        <w:rPr>
          <w:b/>
          <w:color w:val="163A59"/>
        </w:rPr>
        <w:t xml:space="preserve">Service performance. </w:t>
      </w:r>
      <w:r>
        <w:t>Time is material. Carrier shall pick up and deliver as scheduled and immediately report delays, service failures, cargo events, accidents, or detention issues.</w:t>
      </w:r>
    </w:p>
    <w:p w14:paraId="7E01A126" w14:textId="77777777" w:rsidR="002A41D4" w:rsidRDefault="00000000">
      <w:r>
        <w:rPr>
          <w:b/>
          <w:color w:val="163A59"/>
        </w:rPr>
        <w:lastRenderedPageBreak/>
        <w:t xml:space="preserve">Cargo liability. </w:t>
      </w:r>
      <w:r>
        <w:t>Carrier is liable for cargo loss, damage, shortage, contamination, theft, and misdelivery while freight is in Carrier custody or control, subject only to defenses allowed by applicable law.</w:t>
      </w:r>
    </w:p>
    <w:p w14:paraId="1F903574" w14:textId="77777777" w:rsidR="002A41D4" w:rsidRDefault="00000000">
      <w:r>
        <w:t>Charges and payment. Broker standard payment terms are Net 30 after receiving a complete invoice package, subject to any claim, fraud concern, documentation defect, factor conflict, or approved offset allowed by law. Factoring and quick pay arrangements, if any, apply only as separately accepted by Broker.</w:t>
      </w:r>
    </w:p>
    <w:p w14:paraId="7A5F6659" w14:textId="77777777" w:rsidR="002A41D4" w:rsidRDefault="00000000">
      <w:r>
        <w:t>Confidentiality and non-solicitation. Carrier shall keep rates, customer identities, shipment details, and Broker business information confidential and shall not intentionally circumvent Broker on traffic first introduced by Broker during the Agreement and for twelve (12) months thereafter.</w:t>
      </w:r>
    </w:p>
    <w:p w14:paraId="38E661EA" w14:textId="77777777" w:rsidR="002A41D4" w:rsidRDefault="00000000">
      <w:r>
        <w:rPr>
          <w:b/>
          <w:color w:val="163A59"/>
        </w:rPr>
        <w:t xml:space="preserve">Indemnification. </w:t>
      </w:r>
      <w:r>
        <w:t>Carrier shall defend, indemnify, and hold harmless Broker and its customer from claims, losses, fines, penalties, damages, and reasonable attorneys' fees arising from Carrier acts or omissions, except to the extent caused by Broker sole negligence or willful misconduct.</w:t>
      </w:r>
    </w:p>
    <w:p w14:paraId="794711F7" w14:textId="77777777" w:rsidR="002A41D4" w:rsidRDefault="00000000">
      <w:r>
        <w:rPr>
          <w:b/>
          <w:color w:val="163A59"/>
        </w:rPr>
        <w:t xml:space="preserve">Records and cooperation. </w:t>
      </w:r>
      <w:r>
        <w:t>Carrier shall maintain records and reasonably cooperate with investigations of claims, theft, fraud, service failures, and compliance issues.</w:t>
      </w:r>
    </w:p>
    <w:p w14:paraId="36892745" w14:textId="77777777" w:rsidR="002A41D4" w:rsidRDefault="00000000">
      <w:r>
        <w:rPr>
          <w:b/>
          <w:color w:val="163A59"/>
        </w:rPr>
        <w:t xml:space="preserve">Specialty freight addenda. </w:t>
      </w:r>
      <w:r>
        <w:t>Refrigerated, food-grade, hazmat, oversized, project cargo, or customer-specific compliance requirements are handled through separate written addenda when applicable and are not imposed by default through this standard packet.</w:t>
      </w:r>
    </w:p>
    <w:p w14:paraId="46B44354" w14:textId="77777777" w:rsidR="002A41D4" w:rsidRDefault="00000000">
      <w:r>
        <w:t>Termination and governing law. Either party may terminate on written notice, with shipment obligations surviving. Governing law shall be North Carolina, and venue for any action arising from this Agreement shall be Mecklenburg County, North Carolina. Formal notices to Broker shall be directed to 3726 Glenwood Dr., Charlotte, NC 28208, unless Broker designates a different notice address in writing.</w:t>
      </w:r>
    </w:p>
    <w:p w14:paraId="0C87CF60" w14:textId="77777777" w:rsidR="002A41D4" w:rsidRDefault="00000000">
      <w:r>
        <w:t>Compliance with law. Carrier shall comply with all applicable federal, state, and local laws, rules, regulations, ordinances, and industry requirements relating to transportation services performed under this Agreement, including without limitation FMCSA safety regulations, driver qualification and hours-of-service rules, licensing and tax requirements, cargo securement requirements, employment and contractor classification laws applicable to Carrier, and all shipper, receiver, facility, and load-specific compliance instructions provided in writing.</w:t>
      </w:r>
    </w:p>
    <w:p w14:paraId="512B51E4" w14:textId="77777777" w:rsidR="002A41D4" w:rsidRDefault="00000000">
      <w:r>
        <w:t>General terms and charges. The rate confirmation for each shipment controls the linehaul rate and any approved accessorials for that shipment. Detention, layover, truck ordered not used, reconsignment, redelivery, out-of-route mileage, tarping, lumper reimbursement, and any other extra charges must be supported by contemporaneous documentation and approved by Broker in writing. Oral quotes, driver understandings, or unilateral invoices do not modify the rate confirmation. Broker may offset amounts reasonably related to cargo claims, overpayments, duplicate billing, fraud concerns, or other documented charge disputes.</w:t>
      </w:r>
    </w:p>
    <w:p w14:paraId="05F184A1" w14:textId="77777777" w:rsidR="002A41D4" w:rsidRDefault="00000000">
      <w:r>
        <w:t>Notices. Formal notices under this Agreement shall be in writing and delivered by personal delivery, nationally recognized overnight courier, certified mail return receipt requested, or confirmed email. Notices to Broker shall be sent to Ascension &amp; Associates LLC, 3726 Glenwood Dr., Charlotte, NC 28208, with a copy to ronnie@ascensionandassociatesllc.com, unless Broker designates a different notice address in writing. Notices to Carrier shall be sent to the legal name, address, and email stated in Carrier's completed setup packet or to any later notice address designated by Carrier in writing. Notice is effective upon confirmed delivery or transmission, except that notice of claim, default, termination, or legal demand sent only by email should also be sent by one additional permitted method.</w:t>
      </w:r>
    </w:p>
    <w:p w14:paraId="1D79BE13" w14:textId="77777777" w:rsidR="002A41D4" w:rsidRDefault="00000000">
      <w:r>
        <w:t>Waivers. No waiver of any term, default, or remedy under this Agreement is effective unless in a signed writing by the party granting the waiver. A delay in enforcement, partial exercise of a right, or course of dealing shall not operate as a waiver of any present or future breach. Each remedy under this Agreement is cumulative and in addition to any other remedy available at law or in equity.</w:t>
      </w:r>
    </w:p>
    <w:p w14:paraId="627DB179" w14:textId="77777777" w:rsidR="002A41D4" w:rsidRDefault="00000000">
      <w:r>
        <w:t xml:space="preserve">Logo, trademark, and name usage. Carrier shall not use Broker's name, logo, service marks, trademarks, trade dress, customer names, lane information, or other identifying information in advertising, social media, public postings, load-board comments, websites, case studies, solicitation materials, or other promotional content </w:t>
      </w:r>
      <w:r>
        <w:lastRenderedPageBreak/>
        <w:t>without Broker's prior written consent. Carrier shall not imply an endorsement, partnership, or exclusive relationship with Broker or Broker's customers. Any permitted use may be revoked at any time in writing.</w:t>
      </w:r>
    </w:p>
    <w:p w14:paraId="0B0E4F3E" w14:textId="77777777" w:rsidR="002A41D4" w:rsidRDefault="00000000">
      <w:r>
        <w:t>Salvage claims and disposition of cargo. Carrier shall not abandon, auction, salvage, sell, destroy, or otherwise dispose of any cargo involved in a loss, damage, refusal, spoilage, theft recovery, or claims event without prior written instructions from Broker, the cargo owner, or another party lawfully entitled to direct disposition, except to the limited extent immediate action is reasonably necessary to protect life, safety, or property or is required by law. Carrier shall preserve the cargo, related packaging, photographs, seals, temperature records if applicable, and other evidence reasonably requested for investigation of the claim. Any salvage proceeds relating to freight tendered under this Agreement shall be handled as directed in writing by Broker or the cargo owner and credited against the related claim where applicable.</w:t>
      </w:r>
    </w:p>
    <w:p w14:paraId="3F02C0A9" w14:textId="77777777" w:rsidR="002A41D4" w:rsidRDefault="00000000">
      <w:r>
        <w:t>No liens. To the fullest extent permitted by applicable law, Carrier waives and shall not assert any carrier's lien, warehouse lien, possessory lien, or other security interest against cargo, shipping documents, or customer property arising from shipments tendered by Broker under this Agreement. Carrier shall not withhold delivery, threaten non-delivery, or condition release of freight on payment of disputed charges. Carrier's exclusive remedy for unpaid transportation charges properly due under this Agreement is against Broker in accordance with the payment terms of this Agreement, subject to any lawful offsets or defenses.</w:t>
      </w:r>
    </w:p>
    <w:p w14:paraId="67A5E3A4" w14:textId="77777777" w:rsidR="002A41D4" w:rsidRDefault="00000000">
      <w:pPr>
        <w:pStyle w:val="SectionHead"/>
      </w:pPr>
      <w:r>
        <w:t>11. Agreement Acceptance</w:t>
      </w:r>
    </w:p>
    <w:p w14:paraId="621AF905" w14:textId="77777777" w:rsidR="002A41D4" w:rsidRDefault="00000000">
      <w:pPr>
        <w:pStyle w:val="PacketSubtitle"/>
      </w:pPr>
      <w:r>
        <w:t>Carrier certification and signature</w:t>
      </w:r>
    </w:p>
    <w:p w14:paraId="3FD02AFB" w14:textId="77777777" w:rsidR="002A41D4" w:rsidRDefault="00000000">
      <w:r>
        <w:t>By signing below, Carrier certifies that the information in this packet is true and complete and agrees to the onboarding requirements and agreement terms in this Carrier Setup Packet and Broker-Carrier Agreement.</w:t>
      </w:r>
    </w:p>
    <w:p w14:paraId="300DA3D2" w14:textId="77777777" w:rsidR="002A41D4" w:rsidRDefault="00000000">
      <w:r>
        <w:t>Carrier legal name: ______________________________________________________________________________________</w:t>
      </w:r>
    </w:p>
    <w:p w14:paraId="16527174" w14:textId="77777777" w:rsidR="002A41D4" w:rsidRDefault="00000000">
      <w:r>
        <w:t>Authorized representative: ____________________________________  Title: ___________________________________</w:t>
      </w:r>
    </w:p>
    <w:p w14:paraId="73D73186" w14:textId="77777777" w:rsidR="002A41D4" w:rsidRDefault="00000000">
      <w:r>
        <w:t>Signature: _________________________________________________  Date: ______________________________________</w:t>
      </w:r>
    </w:p>
    <w:sectPr w:rsidR="002A41D4" w:rsidSect="00034616">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00262366">
    <w:abstractNumId w:val="8"/>
  </w:num>
  <w:num w:numId="2" w16cid:durableId="662780743">
    <w:abstractNumId w:val="6"/>
  </w:num>
  <w:num w:numId="3" w16cid:durableId="1212764107">
    <w:abstractNumId w:val="5"/>
  </w:num>
  <w:num w:numId="4" w16cid:durableId="2007786311">
    <w:abstractNumId w:val="4"/>
  </w:num>
  <w:num w:numId="5" w16cid:durableId="2146190327">
    <w:abstractNumId w:val="7"/>
  </w:num>
  <w:num w:numId="6" w16cid:durableId="977883067">
    <w:abstractNumId w:val="3"/>
  </w:num>
  <w:num w:numId="7" w16cid:durableId="1962564854">
    <w:abstractNumId w:val="2"/>
  </w:num>
  <w:num w:numId="8" w16cid:durableId="363411913">
    <w:abstractNumId w:val="1"/>
  </w:num>
  <w:num w:numId="9" w16cid:durableId="1839808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F668A"/>
    <w:rsid w:val="0015074B"/>
    <w:rsid w:val="0029639D"/>
    <w:rsid w:val="002A41D4"/>
    <w:rsid w:val="00326F90"/>
    <w:rsid w:val="00403B99"/>
    <w:rsid w:val="006D7BF7"/>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F2F803"/>
  <w14:defaultImageDpi w14:val="300"/>
  <w15:docId w15:val="{FDBE102A-E5F0-47F4-A679-DEF437562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59" w:lineRule="auto"/>
    </w:pPr>
    <w:rPr>
      <w:rFonts w:ascii="Aptos" w:hAnsi="Aptos"/>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acketTitle">
    <w:name w:val="Packet Title"/>
    <w:basedOn w:val="Title"/>
    <w:rPr>
      <w:rFonts w:ascii="Aptos" w:hAnsi="Aptos"/>
      <w:b/>
      <w:color w:val="163A59"/>
      <w:sz w:val="40"/>
    </w:rPr>
  </w:style>
  <w:style w:type="paragraph" w:customStyle="1" w:styleId="PacketSubtitle">
    <w:name w:val="Packet Subtitle"/>
    <w:basedOn w:val="Subtitle"/>
    <w:rPr>
      <w:rFonts w:ascii="Aptos" w:hAnsi="Aptos"/>
      <w:color w:val="4C647A"/>
      <w:sz w:val="20"/>
    </w:rPr>
  </w:style>
  <w:style w:type="paragraph" w:customStyle="1" w:styleId="SectionHead">
    <w:name w:val="Section Head"/>
    <w:basedOn w:val="Heading1"/>
    <w:rPr>
      <w:rFonts w:ascii="Aptos" w:hAnsi="Aptos"/>
      <w:color w:val="163A59"/>
      <w:sz w:val="26"/>
    </w:rPr>
  </w:style>
  <w:style w:type="paragraph" w:customStyle="1" w:styleId="SmallNote">
    <w:name w:val="Small Note"/>
    <w:basedOn w:val="Normal"/>
    <w:rPr>
      <w:color w:val="667788"/>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2410</Words>
  <Characters>13738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Ascension &amp; Associates LLC Carrier Setup Packet and Broker-Carrier Agreement</vt:lpstr>
    </vt:vector>
  </TitlesOfParts>
  <Manager/>
  <Company/>
  <LinksUpToDate>false</LinksUpToDate>
  <CharactersWithSpaces>16116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Ascension &amp; Associates LLC Carrier Setup Packet and Broker-Carrier Agreement</dc:title>
  <dc:subject>Attorney Review Draft</dc:subject>
  <dc:creator>OpenAI</dc:creator>
  <cp:keywords/>
  <dc:description/>
  <cp:lastModifiedBy>Ascension Associates</cp:lastModifiedBy>
  <cp:revision>2</cp:revision>
  <cp:lastPrinted>2026-03-13T23:45:00Z</cp:lastPrinted>
  <dcterms:created xsi:type="dcterms:W3CDTF">2013-12-23T23:15:00Z</dcterms:created>
  <dcterms:modified xsi:type="dcterms:W3CDTF">2026-03-23T22:44:00Z</dcterms:modified>
  <cp:category/>
</cp:coreProperties>
</file>