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37BD52" w14:textId="590C6541" w:rsidR="00AB3293" w:rsidRDefault="009922C5" w:rsidP="00BC1291">
      <w:pPr>
        <w:pStyle w:val="Heading1"/>
        <w:jc w:val="center"/>
      </w:pPr>
      <w:r>
        <w:rPr>
          <w:noProof/>
        </w:rPr>
        <w:drawing>
          <wp:inline distT="0" distB="0" distL="0" distR="0" wp14:anchorId="4B956393" wp14:editId="4237AF44">
            <wp:extent cx="5486400" cy="3091180"/>
            <wp:effectExtent l="0" t="0" r="0" b="0"/>
            <wp:docPr id="1366701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01020" name="Picture 1366701020"/>
                    <pic:cNvPicPr/>
                  </pic:nvPicPr>
                  <pic:blipFill>
                    <a:blip r:embed="rId6"/>
                    <a:stretch>
                      <a:fillRect/>
                    </a:stretch>
                  </pic:blipFill>
                  <pic:spPr>
                    <a:xfrm>
                      <a:off x="0" y="0"/>
                      <a:ext cx="5486400" cy="3091180"/>
                    </a:xfrm>
                    <a:prstGeom prst="rect">
                      <a:avLst/>
                    </a:prstGeom>
                  </pic:spPr>
                </pic:pic>
              </a:graphicData>
            </a:graphic>
          </wp:inline>
        </w:drawing>
      </w:r>
      <w:r w:rsidR="00000000" w:rsidRPr="009922C5">
        <w:rPr>
          <w:b w:val="0"/>
          <w:bCs w:val="0"/>
        </w:rPr>
        <w:t>The Angels Foundation UK</w:t>
      </w:r>
      <w:r w:rsidR="00000000" w:rsidRPr="009922C5">
        <w:rPr>
          <w:b w:val="0"/>
          <w:bCs w:val="0"/>
        </w:rPr>
        <w:br/>
        <w:t>Data Retention &amp; Records Management Policy</w:t>
      </w:r>
    </w:p>
    <w:p w14:paraId="2E591F98" w14:textId="77777777" w:rsidR="00BC1291" w:rsidRPr="00BC1291" w:rsidRDefault="00BC1291" w:rsidP="00BC1291"/>
    <w:p w14:paraId="3066DDA3" w14:textId="77777777" w:rsidR="00AB3293" w:rsidRPr="00BC1291" w:rsidRDefault="00000000">
      <w:pPr>
        <w:rPr>
          <w:rFonts w:asciiTheme="majorHAnsi" w:hAnsiTheme="majorHAnsi" w:cstheme="majorHAnsi"/>
        </w:rPr>
      </w:pPr>
      <w:r w:rsidRPr="00BC1291">
        <w:rPr>
          <w:rFonts w:asciiTheme="majorHAnsi" w:hAnsiTheme="majorHAnsi" w:cstheme="majorHAnsi"/>
        </w:rPr>
        <w:t>Policy Date: June 2026</w:t>
      </w:r>
      <w:r w:rsidRPr="00BC1291">
        <w:rPr>
          <w:rFonts w:asciiTheme="majorHAnsi" w:hAnsiTheme="majorHAnsi" w:cstheme="majorHAnsi"/>
        </w:rPr>
        <w:br/>
        <w:t>Approved By: Board of Trustees</w:t>
      </w:r>
      <w:r w:rsidRPr="00BC1291">
        <w:rPr>
          <w:rFonts w:asciiTheme="majorHAnsi" w:hAnsiTheme="majorHAnsi" w:cstheme="majorHAnsi"/>
        </w:rPr>
        <w:br/>
        <w:t>Review Date: June 2028</w:t>
      </w:r>
      <w:r w:rsidRPr="00BC1291">
        <w:rPr>
          <w:rFonts w:asciiTheme="majorHAnsi" w:hAnsiTheme="majorHAnsi" w:cstheme="majorHAnsi"/>
        </w:rPr>
        <w:br/>
      </w:r>
    </w:p>
    <w:p w14:paraId="755190CD" w14:textId="77777777" w:rsidR="00AB3293" w:rsidRPr="00BC1291" w:rsidRDefault="00000000">
      <w:pPr>
        <w:pStyle w:val="Heading2"/>
        <w:rPr>
          <w:rFonts w:cstheme="majorHAnsi"/>
        </w:rPr>
      </w:pPr>
      <w:r w:rsidRPr="00BC1291">
        <w:rPr>
          <w:rFonts w:cstheme="majorHAnsi"/>
        </w:rPr>
        <w:t>1. Purpose</w:t>
      </w:r>
    </w:p>
    <w:p w14:paraId="552CF977" w14:textId="77777777" w:rsidR="00AB3293" w:rsidRPr="00BC1291" w:rsidRDefault="00000000">
      <w:pPr>
        <w:rPr>
          <w:rFonts w:asciiTheme="majorHAnsi" w:hAnsiTheme="majorHAnsi" w:cstheme="majorHAnsi"/>
        </w:rPr>
      </w:pPr>
      <w:r w:rsidRPr="00BC1291">
        <w:rPr>
          <w:rFonts w:asciiTheme="majorHAnsi" w:hAnsiTheme="majorHAnsi" w:cstheme="majorHAnsi"/>
        </w:rPr>
        <w:t>The Angels Foundation UK is committed to ensuring that information is retained only for as long as necessary and disposed of securely when no longer required. This policy sets out the charity's approach to records management, retention and secure disposal.</w:t>
      </w:r>
    </w:p>
    <w:p w14:paraId="396B20C6" w14:textId="77777777" w:rsidR="00AB3293" w:rsidRPr="00BC1291" w:rsidRDefault="00000000">
      <w:pPr>
        <w:pStyle w:val="Heading2"/>
        <w:rPr>
          <w:rFonts w:cstheme="majorHAnsi"/>
        </w:rPr>
      </w:pPr>
      <w:r w:rsidRPr="00BC1291">
        <w:rPr>
          <w:rFonts w:cstheme="majorHAnsi"/>
        </w:rPr>
        <w:t>2. Scope</w:t>
      </w:r>
    </w:p>
    <w:p w14:paraId="5DD51DE6" w14:textId="77777777" w:rsidR="00AB3293" w:rsidRPr="00BC1291" w:rsidRDefault="00000000">
      <w:pPr>
        <w:rPr>
          <w:rFonts w:asciiTheme="majorHAnsi" w:hAnsiTheme="majorHAnsi" w:cstheme="majorHAnsi"/>
        </w:rPr>
      </w:pPr>
      <w:r w:rsidRPr="00BC1291">
        <w:rPr>
          <w:rFonts w:asciiTheme="majorHAnsi" w:hAnsiTheme="majorHAnsi" w:cstheme="majorHAnsi"/>
        </w:rPr>
        <w:t>This policy applies to staff, trustees, volunteers, counsellors, students, contractors and all information held within Beacon CRM, Microsoft 365, SharePoint, email systems, paper files and financial systems.</w:t>
      </w:r>
    </w:p>
    <w:p w14:paraId="53E8F5D1" w14:textId="77777777" w:rsidR="00AB3293" w:rsidRPr="00BC1291" w:rsidRDefault="00000000">
      <w:pPr>
        <w:pStyle w:val="Heading2"/>
        <w:rPr>
          <w:rFonts w:cstheme="majorHAnsi"/>
        </w:rPr>
      </w:pPr>
      <w:r w:rsidRPr="00BC1291">
        <w:rPr>
          <w:rFonts w:cstheme="majorHAnsi"/>
        </w:rPr>
        <w:t>3. Principles</w:t>
      </w:r>
    </w:p>
    <w:p w14:paraId="2B2B3708" w14:textId="77777777" w:rsidR="00AB3293" w:rsidRPr="00BC1291" w:rsidRDefault="00000000">
      <w:pPr>
        <w:rPr>
          <w:rFonts w:asciiTheme="majorHAnsi" w:hAnsiTheme="majorHAnsi" w:cstheme="majorHAnsi"/>
        </w:rPr>
      </w:pPr>
      <w:r w:rsidRPr="00BC1291">
        <w:rPr>
          <w:rFonts w:asciiTheme="majorHAnsi" w:hAnsiTheme="majorHAnsi" w:cstheme="majorHAnsi"/>
        </w:rPr>
        <w:t>Information will be accurate, secure, accessible only to authorised individuals, retained only as long as necessary, and securely destroyed when no longer required.</w:t>
      </w:r>
    </w:p>
    <w:p w14:paraId="33EAFB29" w14:textId="77777777" w:rsidR="00AB3293" w:rsidRPr="00BC1291" w:rsidRDefault="00000000">
      <w:pPr>
        <w:pStyle w:val="Heading2"/>
        <w:rPr>
          <w:rFonts w:cstheme="majorHAnsi"/>
        </w:rPr>
      </w:pPr>
      <w:r w:rsidRPr="00BC1291">
        <w:rPr>
          <w:rFonts w:cstheme="majorHAnsi"/>
        </w:rPr>
        <w:lastRenderedPageBreak/>
        <w:t>4. Responsibilities</w:t>
      </w:r>
    </w:p>
    <w:p w14:paraId="58B211C9" w14:textId="77777777" w:rsidR="00AB3293" w:rsidRPr="00BC1291" w:rsidRDefault="00000000">
      <w:pPr>
        <w:rPr>
          <w:rFonts w:asciiTheme="majorHAnsi" w:hAnsiTheme="majorHAnsi" w:cstheme="majorHAnsi"/>
        </w:rPr>
      </w:pPr>
      <w:r w:rsidRPr="00BC1291">
        <w:rPr>
          <w:rFonts w:asciiTheme="majorHAnsi" w:hAnsiTheme="majorHAnsi" w:cstheme="majorHAnsi"/>
        </w:rPr>
        <w:t>The Board oversees governance, the CEO implements the policy, and all personnel must comply with retention and disposal requirements.</w:t>
      </w:r>
    </w:p>
    <w:p w14:paraId="42612735" w14:textId="77777777" w:rsidR="00AB3293" w:rsidRPr="00BC1291" w:rsidRDefault="00000000">
      <w:pPr>
        <w:pStyle w:val="Heading2"/>
        <w:rPr>
          <w:rFonts w:cstheme="majorHAnsi"/>
        </w:rPr>
      </w:pPr>
      <w:r w:rsidRPr="00BC1291">
        <w:rPr>
          <w:rFonts w:cstheme="majorHAnsi"/>
        </w:rPr>
        <w:t>5. Storage of Records</w:t>
      </w:r>
    </w:p>
    <w:p w14:paraId="2429F845" w14:textId="77777777" w:rsidR="00AB3293" w:rsidRPr="00BC1291" w:rsidRDefault="00000000">
      <w:pPr>
        <w:rPr>
          <w:rFonts w:asciiTheme="majorHAnsi" w:hAnsiTheme="majorHAnsi" w:cstheme="majorHAnsi"/>
        </w:rPr>
      </w:pPr>
      <w:r w:rsidRPr="00BC1291">
        <w:rPr>
          <w:rFonts w:asciiTheme="majorHAnsi" w:hAnsiTheme="majorHAnsi" w:cstheme="majorHAnsi"/>
        </w:rPr>
        <w:t>Information may be stored electronically, within Beacon CRM, approved cloud systems or locked filing systems.</w:t>
      </w:r>
    </w:p>
    <w:p w14:paraId="792624A3" w14:textId="77777777" w:rsidR="00AB3293" w:rsidRPr="00BC1291" w:rsidRDefault="00000000">
      <w:pPr>
        <w:pStyle w:val="Heading2"/>
        <w:rPr>
          <w:rFonts w:cstheme="majorHAnsi"/>
        </w:rPr>
      </w:pPr>
      <w:r w:rsidRPr="00BC1291">
        <w:rPr>
          <w:rFonts w:cstheme="majorHAnsi"/>
        </w:rPr>
        <w:t>6. Secure Disposal</w:t>
      </w:r>
    </w:p>
    <w:p w14:paraId="47587C8C" w14:textId="77777777" w:rsidR="00AB3293" w:rsidRPr="00BC1291" w:rsidRDefault="00000000">
      <w:pPr>
        <w:rPr>
          <w:rFonts w:asciiTheme="majorHAnsi" w:hAnsiTheme="majorHAnsi" w:cstheme="majorHAnsi"/>
        </w:rPr>
      </w:pPr>
      <w:r w:rsidRPr="00BC1291">
        <w:rPr>
          <w:rFonts w:asciiTheme="majorHAnsi" w:hAnsiTheme="majorHAnsi" w:cstheme="majorHAnsi"/>
        </w:rPr>
        <w:t>Electronic records must be permanently deleted and paper records cross-cut shredded or disposed of through confidential waste services.</w:t>
      </w:r>
    </w:p>
    <w:p w14:paraId="28AEDFF3" w14:textId="77777777" w:rsidR="00AB3293" w:rsidRPr="00BC1291" w:rsidRDefault="00000000">
      <w:pPr>
        <w:pStyle w:val="Heading2"/>
        <w:rPr>
          <w:rFonts w:cstheme="majorHAnsi"/>
        </w:rPr>
      </w:pPr>
      <w:r w:rsidRPr="00BC1291">
        <w:rPr>
          <w:rFonts w:cstheme="majorHAnsi"/>
        </w:rPr>
        <w:t>7. Legal Holds</w:t>
      </w:r>
    </w:p>
    <w:p w14:paraId="57D245FE" w14:textId="77777777" w:rsidR="00AB3293" w:rsidRPr="00BC1291" w:rsidRDefault="00000000">
      <w:pPr>
        <w:rPr>
          <w:rFonts w:asciiTheme="majorHAnsi" w:hAnsiTheme="majorHAnsi" w:cstheme="majorHAnsi"/>
        </w:rPr>
      </w:pPr>
      <w:r w:rsidRPr="00BC1291">
        <w:rPr>
          <w:rFonts w:asciiTheme="majorHAnsi" w:hAnsiTheme="majorHAnsi" w:cstheme="majorHAnsi"/>
        </w:rPr>
        <w:t>Records subject to litigation, complaints, safeguarding investigations, regulatory investigations or insurance claims must not be destroyed until the matter is resolved.</w:t>
      </w:r>
    </w:p>
    <w:p w14:paraId="38D3FD83" w14:textId="77777777" w:rsidR="00AB3293" w:rsidRPr="00BC1291" w:rsidRDefault="00000000">
      <w:pPr>
        <w:pStyle w:val="Heading2"/>
        <w:rPr>
          <w:rFonts w:cstheme="majorHAnsi"/>
        </w:rPr>
      </w:pPr>
      <w:r w:rsidRPr="00BC1291">
        <w:rPr>
          <w:rFonts w:cstheme="majorHAnsi"/>
        </w:rPr>
        <w:t>8. Retention Schedule</w:t>
      </w:r>
    </w:p>
    <w:p w14:paraId="37B15512" w14:textId="77777777" w:rsidR="00AB3293" w:rsidRPr="00BC1291" w:rsidRDefault="00000000">
      <w:pPr>
        <w:pStyle w:val="Heading3"/>
        <w:rPr>
          <w:rFonts w:cstheme="majorHAnsi"/>
        </w:rPr>
      </w:pPr>
      <w:r w:rsidRPr="00BC1291">
        <w:rPr>
          <w:rFonts w:cstheme="majorHAnsi"/>
        </w:rPr>
        <w:t>Governance Records</w:t>
      </w:r>
    </w:p>
    <w:tbl>
      <w:tblPr>
        <w:tblStyle w:val="TableGrid"/>
        <w:tblW w:w="0" w:type="auto"/>
        <w:tblLook w:val="04A0" w:firstRow="1" w:lastRow="0" w:firstColumn="1" w:lastColumn="0" w:noHBand="0" w:noVBand="1"/>
      </w:tblPr>
      <w:tblGrid>
        <w:gridCol w:w="4320"/>
        <w:gridCol w:w="4320"/>
      </w:tblGrid>
      <w:tr w:rsidR="00AB3293" w:rsidRPr="00BC1291" w14:paraId="4DA7E82E" w14:textId="77777777">
        <w:tc>
          <w:tcPr>
            <w:tcW w:w="4320" w:type="dxa"/>
          </w:tcPr>
          <w:p w14:paraId="29195C25"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4CF0D1A8"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03475754" w14:textId="77777777">
        <w:tc>
          <w:tcPr>
            <w:tcW w:w="4320" w:type="dxa"/>
          </w:tcPr>
          <w:p w14:paraId="3D8317DC" w14:textId="77777777" w:rsidR="00AB3293" w:rsidRPr="00BC1291" w:rsidRDefault="00000000">
            <w:pPr>
              <w:rPr>
                <w:rFonts w:asciiTheme="majorHAnsi" w:hAnsiTheme="majorHAnsi" w:cstheme="majorHAnsi"/>
              </w:rPr>
            </w:pPr>
            <w:r w:rsidRPr="00BC1291">
              <w:rPr>
                <w:rFonts w:asciiTheme="majorHAnsi" w:hAnsiTheme="majorHAnsi" w:cstheme="majorHAnsi"/>
              </w:rPr>
              <w:t>Governing document and constitutional records</w:t>
            </w:r>
          </w:p>
        </w:tc>
        <w:tc>
          <w:tcPr>
            <w:tcW w:w="4320" w:type="dxa"/>
          </w:tcPr>
          <w:p w14:paraId="69372305" w14:textId="77777777" w:rsidR="00AB3293" w:rsidRPr="00BC1291" w:rsidRDefault="00000000">
            <w:pPr>
              <w:rPr>
                <w:rFonts w:asciiTheme="majorHAnsi" w:hAnsiTheme="majorHAnsi" w:cstheme="majorHAnsi"/>
              </w:rPr>
            </w:pPr>
            <w:r w:rsidRPr="00BC1291">
              <w:rPr>
                <w:rFonts w:asciiTheme="majorHAnsi" w:hAnsiTheme="majorHAnsi" w:cstheme="majorHAnsi"/>
              </w:rPr>
              <w:t>Permanently</w:t>
            </w:r>
          </w:p>
        </w:tc>
      </w:tr>
      <w:tr w:rsidR="00AB3293" w:rsidRPr="00BC1291" w14:paraId="1D9507EF" w14:textId="77777777">
        <w:tc>
          <w:tcPr>
            <w:tcW w:w="4320" w:type="dxa"/>
          </w:tcPr>
          <w:p w14:paraId="62EDE331" w14:textId="77777777" w:rsidR="00AB3293" w:rsidRPr="00BC1291" w:rsidRDefault="00000000">
            <w:pPr>
              <w:rPr>
                <w:rFonts w:asciiTheme="majorHAnsi" w:hAnsiTheme="majorHAnsi" w:cstheme="majorHAnsi"/>
              </w:rPr>
            </w:pPr>
            <w:r w:rsidRPr="00BC1291">
              <w:rPr>
                <w:rFonts w:asciiTheme="majorHAnsi" w:hAnsiTheme="majorHAnsi" w:cstheme="majorHAnsi"/>
              </w:rPr>
              <w:t>Trustee meeting minutes</w:t>
            </w:r>
          </w:p>
        </w:tc>
        <w:tc>
          <w:tcPr>
            <w:tcW w:w="4320" w:type="dxa"/>
          </w:tcPr>
          <w:p w14:paraId="5B31B90D" w14:textId="77777777" w:rsidR="00AB3293" w:rsidRPr="00BC1291" w:rsidRDefault="00000000">
            <w:pPr>
              <w:rPr>
                <w:rFonts w:asciiTheme="majorHAnsi" w:hAnsiTheme="majorHAnsi" w:cstheme="majorHAnsi"/>
              </w:rPr>
            </w:pPr>
            <w:r w:rsidRPr="00BC1291">
              <w:rPr>
                <w:rFonts w:asciiTheme="majorHAnsi" w:hAnsiTheme="majorHAnsi" w:cstheme="majorHAnsi"/>
              </w:rPr>
              <w:t>Permanently</w:t>
            </w:r>
          </w:p>
        </w:tc>
      </w:tr>
      <w:tr w:rsidR="00AB3293" w:rsidRPr="00BC1291" w14:paraId="755564A5" w14:textId="77777777">
        <w:tc>
          <w:tcPr>
            <w:tcW w:w="4320" w:type="dxa"/>
          </w:tcPr>
          <w:p w14:paraId="795E17FD" w14:textId="77777777" w:rsidR="00AB3293" w:rsidRPr="00BC1291" w:rsidRDefault="00000000">
            <w:pPr>
              <w:rPr>
                <w:rFonts w:asciiTheme="majorHAnsi" w:hAnsiTheme="majorHAnsi" w:cstheme="majorHAnsi"/>
              </w:rPr>
            </w:pPr>
            <w:r w:rsidRPr="00BC1291">
              <w:rPr>
                <w:rFonts w:asciiTheme="majorHAnsi" w:hAnsiTheme="majorHAnsi" w:cstheme="majorHAnsi"/>
              </w:rPr>
              <w:t>Annual reports and accounts</w:t>
            </w:r>
          </w:p>
        </w:tc>
        <w:tc>
          <w:tcPr>
            <w:tcW w:w="4320" w:type="dxa"/>
          </w:tcPr>
          <w:p w14:paraId="29CB3FA5" w14:textId="77777777" w:rsidR="00AB3293" w:rsidRPr="00BC1291" w:rsidRDefault="00000000">
            <w:pPr>
              <w:rPr>
                <w:rFonts w:asciiTheme="majorHAnsi" w:hAnsiTheme="majorHAnsi" w:cstheme="majorHAnsi"/>
              </w:rPr>
            </w:pPr>
            <w:r w:rsidRPr="00BC1291">
              <w:rPr>
                <w:rFonts w:asciiTheme="majorHAnsi" w:hAnsiTheme="majorHAnsi" w:cstheme="majorHAnsi"/>
              </w:rPr>
              <w:t>Permanently</w:t>
            </w:r>
          </w:p>
        </w:tc>
      </w:tr>
      <w:tr w:rsidR="00AB3293" w:rsidRPr="00BC1291" w14:paraId="0E58FC71" w14:textId="77777777">
        <w:tc>
          <w:tcPr>
            <w:tcW w:w="4320" w:type="dxa"/>
          </w:tcPr>
          <w:p w14:paraId="6803079F" w14:textId="77777777" w:rsidR="00AB3293" w:rsidRPr="00BC1291" w:rsidRDefault="00000000">
            <w:pPr>
              <w:rPr>
                <w:rFonts w:asciiTheme="majorHAnsi" w:hAnsiTheme="majorHAnsi" w:cstheme="majorHAnsi"/>
              </w:rPr>
            </w:pPr>
            <w:r w:rsidRPr="00BC1291">
              <w:rPr>
                <w:rFonts w:asciiTheme="majorHAnsi" w:hAnsiTheme="majorHAnsi" w:cstheme="majorHAnsi"/>
              </w:rPr>
              <w:t>Policies and procedures (superseded versions)</w:t>
            </w:r>
          </w:p>
        </w:tc>
        <w:tc>
          <w:tcPr>
            <w:tcW w:w="4320" w:type="dxa"/>
          </w:tcPr>
          <w:p w14:paraId="57485E5D" w14:textId="77777777" w:rsidR="00AB3293" w:rsidRPr="00BC1291" w:rsidRDefault="00000000">
            <w:pPr>
              <w:rPr>
                <w:rFonts w:asciiTheme="majorHAnsi" w:hAnsiTheme="majorHAnsi" w:cstheme="majorHAnsi"/>
              </w:rPr>
            </w:pPr>
            <w:r w:rsidRPr="00BC1291">
              <w:rPr>
                <w:rFonts w:asciiTheme="majorHAnsi" w:hAnsiTheme="majorHAnsi" w:cstheme="majorHAnsi"/>
              </w:rPr>
              <w:t>7 years</w:t>
            </w:r>
          </w:p>
        </w:tc>
      </w:tr>
    </w:tbl>
    <w:p w14:paraId="06D928B0" w14:textId="77777777" w:rsidR="00AB3293" w:rsidRPr="00BC1291" w:rsidRDefault="00000000">
      <w:pPr>
        <w:pStyle w:val="Heading3"/>
        <w:rPr>
          <w:rFonts w:cstheme="majorHAnsi"/>
        </w:rPr>
      </w:pPr>
      <w:r w:rsidRPr="00BC1291">
        <w:rPr>
          <w:rFonts w:cstheme="majorHAnsi"/>
        </w:rPr>
        <w:t>Financial Records</w:t>
      </w:r>
    </w:p>
    <w:tbl>
      <w:tblPr>
        <w:tblStyle w:val="TableGrid"/>
        <w:tblW w:w="0" w:type="auto"/>
        <w:tblLook w:val="04A0" w:firstRow="1" w:lastRow="0" w:firstColumn="1" w:lastColumn="0" w:noHBand="0" w:noVBand="1"/>
      </w:tblPr>
      <w:tblGrid>
        <w:gridCol w:w="4320"/>
        <w:gridCol w:w="4320"/>
      </w:tblGrid>
      <w:tr w:rsidR="00AB3293" w:rsidRPr="00BC1291" w14:paraId="50C92C6C" w14:textId="77777777">
        <w:tc>
          <w:tcPr>
            <w:tcW w:w="4320" w:type="dxa"/>
          </w:tcPr>
          <w:p w14:paraId="53FA8CCD"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4DF87C66"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0CA6B763" w14:textId="77777777">
        <w:tc>
          <w:tcPr>
            <w:tcW w:w="4320" w:type="dxa"/>
          </w:tcPr>
          <w:p w14:paraId="50B9FD21" w14:textId="77777777" w:rsidR="00AB3293" w:rsidRPr="00BC1291" w:rsidRDefault="00000000">
            <w:pPr>
              <w:rPr>
                <w:rFonts w:asciiTheme="majorHAnsi" w:hAnsiTheme="majorHAnsi" w:cstheme="majorHAnsi"/>
              </w:rPr>
            </w:pPr>
            <w:r w:rsidRPr="00BC1291">
              <w:rPr>
                <w:rFonts w:asciiTheme="majorHAnsi" w:hAnsiTheme="majorHAnsi" w:cstheme="majorHAnsi"/>
              </w:rPr>
              <w:t>Accounting records</w:t>
            </w:r>
          </w:p>
        </w:tc>
        <w:tc>
          <w:tcPr>
            <w:tcW w:w="4320" w:type="dxa"/>
          </w:tcPr>
          <w:p w14:paraId="0A30C949"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financial year end</w:t>
            </w:r>
          </w:p>
        </w:tc>
      </w:tr>
      <w:tr w:rsidR="00AB3293" w:rsidRPr="00BC1291" w14:paraId="00DEE797" w14:textId="77777777">
        <w:tc>
          <w:tcPr>
            <w:tcW w:w="4320" w:type="dxa"/>
          </w:tcPr>
          <w:p w14:paraId="72D5F77A" w14:textId="77777777" w:rsidR="00AB3293" w:rsidRPr="00BC1291" w:rsidRDefault="00000000">
            <w:pPr>
              <w:rPr>
                <w:rFonts w:asciiTheme="majorHAnsi" w:hAnsiTheme="majorHAnsi" w:cstheme="majorHAnsi"/>
              </w:rPr>
            </w:pPr>
            <w:r w:rsidRPr="00BC1291">
              <w:rPr>
                <w:rFonts w:asciiTheme="majorHAnsi" w:hAnsiTheme="majorHAnsi" w:cstheme="majorHAnsi"/>
              </w:rPr>
              <w:t>Payroll records</w:t>
            </w:r>
          </w:p>
        </w:tc>
        <w:tc>
          <w:tcPr>
            <w:tcW w:w="4320" w:type="dxa"/>
          </w:tcPr>
          <w:p w14:paraId="1583EB19" w14:textId="77777777" w:rsidR="00AB3293" w:rsidRPr="00BC1291" w:rsidRDefault="00000000">
            <w:pPr>
              <w:rPr>
                <w:rFonts w:asciiTheme="majorHAnsi" w:hAnsiTheme="majorHAnsi" w:cstheme="majorHAnsi"/>
              </w:rPr>
            </w:pPr>
            <w:r w:rsidRPr="00BC1291">
              <w:rPr>
                <w:rFonts w:asciiTheme="majorHAnsi" w:hAnsiTheme="majorHAnsi" w:cstheme="majorHAnsi"/>
              </w:rPr>
              <w:t>6 years</w:t>
            </w:r>
          </w:p>
        </w:tc>
      </w:tr>
      <w:tr w:rsidR="00AB3293" w:rsidRPr="00BC1291" w14:paraId="24C03282" w14:textId="77777777">
        <w:tc>
          <w:tcPr>
            <w:tcW w:w="4320" w:type="dxa"/>
          </w:tcPr>
          <w:p w14:paraId="0267469A" w14:textId="77777777" w:rsidR="00AB3293" w:rsidRPr="00BC1291" w:rsidRDefault="00000000">
            <w:pPr>
              <w:rPr>
                <w:rFonts w:asciiTheme="majorHAnsi" w:hAnsiTheme="majorHAnsi" w:cstheme="majorHAnsi"/>
              </w:rPr>
            </w:pPr>
            <w:r w:rsidRPr="00BC1291">
              <w:rPr>
                <w:rFonts w:asciiTheme="majorHAnsi" w:hAnsiTheme="majorHAnsi" w:cstheme="majorHAnsi"/>
              </w:rPr>
              <w:t>HMRC records</w:t>
            </w:r>
          </w:p>
        </w:tc>
        <w:tc>
          <w:tcPr>
            <w:tcW w:w="4320" w:type="dxa"/>
          </w:tcPr>
          <w:p w14:paraId="4F0C4502" w14:textId="77777777" w:rsidR="00AB3293" w:rsidRPr="00BC1291" w:rsidRDefault="00000000">
            <w:pPr>
              <w:rPr>
                <w:rFonts w:asciiTheme="majorHAnsi" w:hAnsiTheme="majorHAnsi" w:cstheme="majorHAnsi"/>
              </w:rPr>
            </w:pPr>
            <w:r w:rsidRPr="00BC1291">
              <w:rPr>
                <w:rFonts w:asciiTheme="majorHAnsi" w:hAnsiTheme="majorHAnsi" w:cstheme="majorHAnsi"/>
              </w:rPr>
              <w:t>6 years</w:t>
            </w:r>
          </w:p>
        </w:tc>
      </w:tr>
      <w:tr w:rsidR="00AB3293" w:rsidRPr="00BC1291" w14:paraId="2BEDAC55" w14:textId="77777777">
        <w:tc>
          <w:tcPr>
            <w:tcW w:w="4320" w:type="dxa"/>
          </w:tcPr>
          <w:p w14:paraId="7C5E691C" w14:textId="77777777" w:rsidR="00AB3293" w:rsidRPr="00BC1291" w:rsidRDefault="00000000">
            <w:pPr>
              <w:rPr>
                <w:rFonts w:asciiTheme="majorHAnsi" w:hAnsiTheme="majorHAnsi" w:cstheme="majorHAnsi"/>
              </w:rPr>
            </w:pPr>
            <w:r w:rsidRPr="00BC1291">
              <w:rPr>
                <w:rFonts w:asciiTheme="majorHAnsi" w:hAnsiTheme="majorHAnsi" w:cstheme="majorHAnsi"/>
              </w:rPr>
              <w:t>Gift Aid records</w:t>
            </w:r>
          </w:p>
        </w:tc>
        <w:tc>
          <w:tcPr>
            <w:tcW w:w="4320" w:type="dxa"/>
          </w:tcPr>
          <w:p w14:paraId="4CF346BD" w14:textId="77777777" w:rsidR="00AB3293" w:rsidRPr="00BC1291" w:rsidRDefault="00000000">
            <w:pPr>
              <w:rPr>
                <w:rFonts w:asciiTheme="majorHAnsi" w:hAnsiTheme="majorHAnsi" w:cstheme="majorHAnsi"/>
              </w:rPr>
            </w:pPr>
            <w:r w:rsidRPr="00BC1291">
              <w:rPr>
                <w:rFonts w:asciiTheme="majorHAnsi" w:hAnsiTheme="majorHAnsi" w:cstheme="majorHAnsi"/>
              </w:rPr>
              <w:t>6 years</w:t>
            </w:r>
          </w:p>
        </w:tc>
      </w:tr>
    </w:tbl>
    <w:p w14:paraId="57F91364" w14:textId="77777777" w:rsidR="00AB3293" w:rsidRPr="00BC1291" w:rsidRDefault="00000000">
      <w:pPr>
        <w:pStyle w:val="Heading3"/>
        <w:rPr>
          <w:rFonts w:cstheme="majorHAnsi"/>
        </w:rPr>
      </w:pPr>
      <w:r w:rsidRPr="00BC1291">
        <w:rPr>
          <w:rFonts w:cstheme="majorHAnsi"/>
        </w:rPr>
        <w:t>Human Resources Records</w:t>
      </w:r>
    </w:p>
    <w:tbl>
      <w:tblPr>
        <w:tblStyle w:val="TableGrid"/>
        <w:tblW w:w="0" w:type="auto"/>
        <w:tblLook w:val="04A0" w:firstRow="1" w:lastRow="0" w:firstColumn="1" w:lastColumn="0" w:noHBand="0" w:noVBand="1"/>
      </w:tblPr>
      <w:tblGrid>
        <w:gridCol w:w="4320"/>
        <w:gridCol w:w="4320"/>
      </w:tblGrid>
      <w:tr w:rsidR="00AB3293" w:rsidRPr="00BC1291" w14:paraId="50012B05" w14:textId="77777777">
        <w:tc>
          <w:tcPr>
            <w:tcW w:w="4320" w:type="dxa"/>
          </w:tcPr>
          <w:p w14:paraId="0969CD5B"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3AF7D05C"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4FAE1D9B" w14:textId="77777777">
        <w:tc>
          <w:tcPr>
            <w:tcW w:w="4320" w:type="dxa"/>
          </w:tcPr>
          <w:p w14:paraId="57DC313D" w14:textId="77777777" w:rsidR="00AB3293" w:rsidRPr="00BC1291" w:rsidRDefault="00000000">
            <w:pPr>
              <w:rPr>
                <w:rFonts w:asciiTheme="majorHAnsi" w:hAnsiTheme="majorHAnsi" w:cstheme="majorHAnsi"/>
              </w:rPr>
            </w:pPr>
            <w:r w:rsidRPr="00BC1291">
              <w:rPr>
                <w:rFonts w:asciiTheme="majorHAnsi" w:hAnsiTheme="majorHAnsi" w:cstheme="majorHAnsi"/>
              </w:rPr>
              <w:t>Personnel files (employees)</w:t>
            </w:r>
          </w:p>
        </w:tc>
        <w:tc>
          <w:tcPr>
            <w:tcW w:w="4320" w:type="dxa"/>
          </w:tcPr>
          <w:p w14:paraId="3559C382"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employment ends</w:t>
            </w:r>
          </w:p>
        </w:tc>
      </w:tr>
      <w:tr w:rsidR="00AB3293" w:rsidRPr="00BC1291" w14:paraId="187BE8CD" w14:textId="77777777">
        <w:tc>
          <w:tcPr>
            <w:tcW w:w="4320" w:type="dxa"/>
          </w:tcPr>
          <w:p w14:paraId="65B292CE" w14:textId="77777777" w:rsidR="00AB3293" w:rsidRPr="00BC1291" w:rsidRDefault="00000000">
            <w:pPr>
              <w:rPr>
                <w:rFonts w:asciiTheme="majorHAnsi" w:hAnsiTheme="majorHAnsi" w:cstheme="majorHAnsi"/>
              </w:rPr>
            </w:pPr>
            <w:r w:rsidRPr="00BC1291">
              <w:rPr>
                <w:rFonts w:asciiTheme="majorHAnsi" w:hAnsiTheme="majorHAnsi" w:cstheme="majorHAnsi"/>
              </w:rPr>
              <w:t>Volunteer records</w:t>
            </w:r>
          </w:p>
        </w:tc>
        <w:tc>
          <w:tcPr>
            <w:tcW w:w="4320" w:type="dxa"/>
          </w:tcPr>
          <w:p w14:paraId="0EB6DE54"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volunteering ends</w:t>
            </w:r>
          </w:p>
        </w:tc>
      </w:tr>
      <w:tr w:rsidR="00AB3293" w:rsidRPr="00BC1291" w14:paraId="1DD34819" w14:textId="77777777">
        <w:tc>
          <w:tcPr>
            <w:tcW w:w="4320" w:type="dxa"/>
          </w:tcPr>
          <w:p w14:paraId="649EC15C" w14:textId="77777777" w:rsidR="00AB3293" w:rsidRPr="00BC1291" w:rsidRDefault="00000000">
            <w:pPr>
              <w:rPr>
                <w:rFonts w:asciiTheme="majorHAnsi" w:hAnsiTheme="majorHAnsi" w:cstheme="majorHAnsi"/>
              </w:rPr>
            </w:pPr>
            <w:r w:rsidRPr="00BC1291">
              <w:rPr>
                <w:rFonts w:asciiTheme="majorHAnsi" w:hAnsiTheme="majorHAnsi" w:cstheme="majorHAnsi"/>
              </w:rPr>
              <w:t>Recruitment records (unsuccessful applicants)</w:t>
            </w:r>
          </w:p>
        </w:tc>
        <w:tc>
          <w:tcPr>
            <w:tcW w:w="4320" w:type="dxa"/>
          </w:tcPr>
          <w:p w14:paraId="396CCBCD" w14:textId="77777777" w:rsidR="00AB3293" w:rsidRPr="00BC1291" w:rsidRDefault="00000000">
            <w:pPr>
              <w:rPr>
                <w:rFonts w:asciiTheme="majorHAnsi" w:hAnsiTheme="majorHAnsi" w:cstheme="majorHAnsi"/>
              </w:rPr>
            </w:pPr>
            <w:r w:rsidRPr="00BC1291">
              <w:rPr>
                <w:rFonts w:asciiTheme="majorHAnsi" w:hAnsiTheme="majorHAnsi" w:cstheme="majorHAnsi"/>
              </w:rPr>
              <w:t>12 months</w:t>
            </w:r>
          </w:p>
        </w:tc>
      </w:tr>
      <w:tr w:rsidR="00AB3293" w:rsidRPr="00BC1291" w14:paraId="3219C939" w14:textId="77777777">
        <w:tc>
          <w:tcPr>
            <w:tcW w:w="4320" w:type="dxa"/>
          </w:tcPr>
          <w:p w14:paraId="4D81ABA4" w14:textId="77777777" w:rsidR="00AB3293" w:rsidRPr="00BC1291" w:rsidRDefault="00000000">
            <w:pPr>
              <w:rPr>
                <w:rFonts w:asciiTheme="majorHAnsi" w:hAnsiTheme="majorHAnsi" w:cstheme="majorHAnsi"/>
              </w:rPr>
            </w:pPr>
            <w:r w:rsidRPr="00BC1291">
              <w:rPr>
                <w:rFonts w:asciiTheme="majorHAnsi" w:hAnsiTheme="majorHAnsi" w:cstheme="majorHAnsi"/>
              </w:rPr>
              <w:t>Right to work checks</w:t>
            </w:r>
          </w:p>
        </w:tc>
        <w:tc>
          <w:tcPr>
            <w:tcW w:w="4320" w:type="dxa"/>
          </w:tcPr>
          <w:p w14:paraId="02A29424" w14:textId="77777777" w:rsidR="00AB3293" w:rsidRPr="00BC1291" w:rsidRDefault="00000000">
            <w:pPr>
              <w:rPr>
                <w:rFonts w:asciiTheme="majorHAnsi" w:hAnsiTheme="majorHAnsi" w:cstheme="majorHAnsi"/>
              </w:rPr>
            </w:pPr>
            <w:r w:rsidRPr="00BC1291">
              <w:rPr>
                <w:rFonts w:asciiTheme="majorHAnsi" w:hAnsiTheme="majorHAnsi" w:cstheme="majorHAnsi"/>
              </w:rPr>
              <w:t>Employment plus 2 years</w:t>
            </w:r>
          </w:p>
        </w:tc>
      </w:tr>
      <w:tr w:rsidR="00AB3293" w:rsidRPr="00BC1291" w14:paraId="26911E5C" w14:textId="77777777">
        <w:tc>
          <w:tcPr>
            <w:tcW w:w="4320" w:type="dxa"/>
          </w:tcPr>
          <w:p w14:paraId="224966A1" w14:textId="77777777" w:rsidR="00AB3293" w:rsidRPr="00BC1291" w:rsidRDefault="00000000">
            <w:pPr>
              <w:rPr>
                <w:rFonts w:asciiTheme="majorHAnsi" w:hAnsiTheme="majorHAnsi" w:cstheme="majorHAnsi"/>
              </w:rPr>
            </w:pPr>
            <w:r w:rsidRPr="00BC1291">
              <w:rPr>
                <w:rFonts w:asciiTheme="majorHAnsi" w:hAnsiTheme="majorHAnsi" w:cstheme="majorHAnsi"/>
              </w:rPr>
              <w:t>Training records</w:t>
            </w:r>
          </w:p>
        </w:tc>
        <w:tc>
          <w:tcPr>
            <w:tcW w:w="4320" w:type="dxa"/>
          </w:tcPr>
          <w:p w14:paraId="74F2ED93"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role ends</w:t>
            </w:r>
          </w:p>
        </w:tc>
      </w:tr>
    </w:tbl>
    <w:p w14:paraId="28466FF0" w14:textId="77777777" w:rsidR="00AB3293" w:rsidRPr="00BC1291" w:rsidRDefault="00000000">
      <w:pPr>
        <w:pStyle w:val="Heading3"/>
        <w:rPr>
          <w:rFonts w:cstheme="majorHAnsi"/>
        </w:rPr>
      </w:pPr>
      <w:r w:rsidRPr="00BC1291">
        <w:rPr>
          <w:rFonts w:cstheme="majorHAnsi"/>
        </w:rPr>
        <w:t>DBS and Safeguarding Checks</w:t>
      </w:r>
    </w:p>
    <w:tbl>
      <w:tblPr>
        <w:tblStyle w:val="TableGrid"/>
        <w:tblW w:w="0" w:type="auto"/>
        <w:tblLook w:val="04A0" w:firstRow="1" w:lastRow="0" w:firstColumn="1" w:lastColumn="0" w:noHBand="0" w:noVBand="1"/>
      </w:tblPr>
      <w:tblGrid>
        <w:gridCol w:w="4320"/>
        <w:gridCol w:w="4320"/>
      </w:tblGrid>
      <w:tr w:rsidR="00AB3293" w:rsidRPr="00BC1291" w14:paraId="26415D60" w14:textId="77777777">
        <w:tc>
          <w:tcPr>
            <w:tcW w:w="4320" w:type="dxa"/>
          </w:tcPr>
          <w:p w14:paraId="31410CBA"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2791FA70"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1CA62B96" w14:textId="77777777">
        <w:tc>
          <w:tcPr>
            <w:tcW w:w="4320" w:type="dxa"/>
          </w:tcPr>
          <w:p w14:paraId="34A7F8AD" w14:textId="77777777" w:rsidR="00AB3293" w:rsidRPr="00BC1291" w:rsidRDefault="00000000">
            <w:pPr>
              <w:rPr>
                <w:rFonts w:asciiTheme="majorHAnsi" w:hAnsiTheme="majorHAnsi" w:cstheme="majorHAnsi"/>
              </w:rPr>
            </w:pPr>
            <w:r w:rsidRPr="00BC1291">
              <w:rPr>
                <w:rFonts w:asciiTheme="majorHAnsi" w:hAnsiTheme="majorHAnsi" w:cstheme="majorHAnsi"/>
              </w:rPr>
              <w:lastRenderedPageBreak/>
              <w:t>DBS check record (certificate number and decision only)</w:t>
            </w:r>
          </w:p>
        </w:tc>
        <w:tc>
          <w:tcPr>
            <w:tcW w:w="4320" w:type="dxa"/>
          </w:tcPr>
          <w:p w14:paraId="2AFBE5A8"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role ends</w:t>
            </w:r>
          </w:p>
        </w:tc>
      </w:tr>
      <w:tr w:rsidR="00AB3293" w:rsidRPr="00BC1291" w14:paraId="24FC29B4" w14:textId="77777777">
        <w:tc>
          <w:tcPr>
            <w:tcW w:w="4320" w:type="dxa"/>
          </w:tcPr>
          <w:p w14:paraId="2DE2CCE5" w14:textId="77777777" w:rsidR="00AB3293" w:rsidRPr="00BC1291" w:rsidRDefault="00000000">
            <w:pPr>
              <w:rPr>
                <w:rFonts w:asciiTheme="majorHAnsi" w:hAnsiTheme="majorHAnsi" w:cstheme="majorHAnsi"/>
              </w:rPr>
            </w:pPr>
            <w:r w:rsidRPr="00BC1291">
              <w:rPr>
                <w:rFonts w:asciiTheme="majorHAnsi" w:hAnsiTheme="majorHAnsi" w:cstheme="majorHAnsi"/>
              </w:rPr>
              <w:t>Copies of DBS certificates</w:t>
            </w:r>
          </w:p>
        </w:tc>
        <w:tc>
          <w:tcPr>
            <w:tcW w:w="4320" w:type="dxa"/>
          </w:tcPr>
          <w:p w14:paraId="70DB37E4" w14:textId="77777777" w:rsidR="00AB3293" w:rsidRPr="00BC1291" w:rsidRDefault="00000000">
            <w:pPr>
              <w:rPr>
                <w:rFonts w:asciiTheme="majorHAnsi" w:hAnsiTheme="majorHAnsi" w:cstheme="majorHAnsi"/>
              </w:rPr>
            </w:pPr>
            <w:r w:rsidRPr="00BC1291">
              <w:rPr>
                <w:rFonts w:asciiTheme="majorHAnsi" w:hAnsiTheme="majorHAnsi" w:cstheme="majorHAnsi"/>
              </w:rPr>
              <w:t>Not normally longer than 6 months</w:t>
            </w:r>
          </w:p>
        </w:tc>
      </w:tr>
    </w:tbl>
    <w:p w14:paraId="78D8AC3D" w14:textId="77777777" w:rsidR="00AB3293" w:rsidRPr="00BC1291" w:rsidRDefault="00000000">
      <w:pPr>
        <w:pStyle w:val="Heading3"/>
        <w:rPr>
          <w:rFonts w:cstheme="majorHAnsi"/>
        </w:rPr>
      </w:pPr>
      <w:r w:rsidRPr="00BC1291">
        <w:rPr>
          <w:rFonts w:cstheme="majorHAnsi"/>
        </w:rPr>
        <w:t>Counselling and Support Records</w:t>
      </w:r>
    </w:p>
    <w:tbl>
      <w:tblPr>
        <w:tblStyle w:val="TableGrid"/>
        <w:tblW w:w="0" w:type="auto"/>
        <w:tblLook w:val="04A0" w:firstRow="1" w:lastRow="0" w:firstColumn="1" w:lastColumn="0" w:noHBand="0" w:noVBand="1"/>
      </w:tblPr>
      <w:tblGrid>
        <w:gridCol w:w="4320"/>
        <w:gridCol w:w="4320"/>
      </w:tblGrid>
      <w:tr w:rsidR="00AB3293" w:rsidRPr="00BC1291" w14:paraId="0F45CC50" w14:textId="77777777">
        <w:tc>
          <w:tcPr>
            <w:tcW w:w="4320" w:type="dxa"/>
          </w:tcPr>
          <w:p w14:paraId="2B5495CD"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670393B1"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5C5BDD4B" w14:textId="77777777">
        <w:tc>
          <w:tcPr>
            <w:tcW w:w="4320" w:type="dxa"/>
          </w:tcPr>
          <w:p w14:paraId="03BBD8D5" w14:textId="77777777" w:rsidR="00AB3293" w:rsidRPr="00BC1291" w:rsidRDefault="00000000">
            <w:pPr>
              <w:rPr>
                <w:rFonts w:asciiTheme="majorHAnsi" w:hAnsiTheme="majorHAnsi" w:cstheme="majorHAnsi"/>
              </w:rPr>
            </w:pPr>
            <w:r w:rsidRPr="00BC1291">
              <w:rPr>
                <w:rFonts w:asciiTheme="majorHAnsi" w:hAnsiTheme="majorHAnsi" w:cstheme="majorHAnsi"/>
              </w:rPr>
              <w:t>Counselling records (adults)</w:t>
            </w:r>
          </w:p>
        </w:tc>
        <w:tc>
          <w:tcPr>
            <w:tcW w:w="4320" w:type="dxa"/>
          </w:tcPr>
          <w:p w14:paraId="587A0698" w14:textId="77777777" w:rsidR="00AB3293" w:rsidRPr="00BC1291" w:rsidRDefault="00000000">
            <w:pPr>
              <w:rPr>
                <w:rFonts w:asciiTheme="majorHAnsi" w:hAnsiTheme="majorHAnsi" w:cstheme="majorHAnsi"/>
              </w:rPr>
            </w:pPr>
            <w:r w:rsidRPr="00BC1291">
              <w:rPr>
                <w:rFonts w:asciiTheme="majorHAnsi" w:hAnsiTheme="majorHAnsi" w:cstheme="majorHAnsi"/>
              </w:rPr>
              <w:t>7 years after case closure</w:t>
            </w:r>
          </w:p>
        </w:tc>
      </w:tr>
      <w:tr w:rsidR="00AB3293" w:rsidRPr="00BC1291" w14:paraId="2DBC856C" w14:textId="77777777">
        <w:tc>
          <w:tcPr>
            <w:tcW w:w="4320" w:type="dxa"/>
          </w:tcPr>
          <w:p w14:paraId="4B456B8C" w14:textId="77777777" w:rsidR="00AB3293" w:rsidRPr="00BC1291" w:rsidRDefault="00000000">
            <w:pPr>
              <w:rPr>
                <w:rFonts w:asciiTheme="majorHAnsi" w:hAnsiTheme="majorHAnsi" w:cstheme="majorHAnsi"/>
              </w:rPr>
            </w:pPr>
            <w:r w:rsidRPr="00BC1291">
              <w:rPr>
                <w:rFonts w:asciiTheme="majorHAnsi" w:hAnsiTheme="majorHAnsi" w:cstheme="majorHAnsi"/>
              </w:rPr>
              <w:t>Counselling records involving children or young people</w:t>
            </w:r>
          </w:p>
        </w:tc>
        <w:tc>
          <w:tcPr>
            <w:tcW w:w="4320" w:type="dxa"/>
          </w:tcPr>
          <w:p w14:paraId="413BC9E1" w14:textId="77777777" w:rsidR="00AB3293" w:rsidRPr="00BC1291" w:rsidRDefault="00000000">
            <w:pPr>
              <w:rPr>
                <w:rFonts w:asciiTheme="majorHAnsi" w:hAnsiTheme="majorHAnsi" w:cstheme="majorHAnsi"/>
              </w:rPr>
            </w:pPr>
            <w:r w:rsidRPr="00BC1291">
              <w:rPr>
                <w:rFonts w:asciiTheme="majorHAnsi" w:hAnsiTheme="majorHAnsi" w:cstheme="majorHAnsi"/>
              </w:rPr>
              <w:t>Until age 25 or 7 years after closure, whichever is longer</w:t>
            </w:r>
          </w:p>
        </w:tc>
      </w:tr>
      <w:tr w:rsidR="00AB3293" w:rsidRPr="00BC1291" w14:paraId="29380E0F" w14:textId="77777777">
        <w:tc>
          <w:tcPr>
            <w:tcW w:w="4320" w:type="dxa"/>
          </w:tcPr>
          <w:p w14:paraId="34573B0E" w14:textId="77777777" w:rsidR="00AB3293" w:rsidRPr="00BC1291" w:rsidRDefault="00000000">
            <w:pPr>
              <w:rPr>
                <w:rFonts w:asciiTheme="majorHAnsi" w:hAnsiTheme="majorHAnsi" w:cstheme="majorHAnsi"/>
              </w:rPr>
            </w:pPr>
            <w:r w:rsidRPr="00BC1291">
              <w:rPr>
                <w:rFonts w:asciiTheme="majorHAnsi" w:hAnsiTheme="majorHAnsi" w:cstheme="majorHAnsi"/>
              </w:rPr>
              <w:t>Case notes and support records</w:t>
            </w:r>
          </w:p>
        </w:tc>
        <w:tc>
          <w:tcPr>
            <w:tcW w:w="4320" w:type="dxa"/>
          </w:tcPr>
          <w:p w14:paraId="1181521E" w14:textId="77777777" w:rsidR="00AB3293" w:rsidRPr="00BC1291" w:rsidRDefault="00000000">
            <w:pPr>
              <w:rPr>
                <w:rFonts w:asciiTheme="majorHAnsi" w:hAnsiTheme="majorHAnsi" w:cstheme="majorHAnsi"/>
              </w:rPr>
            </w:pPr>
            <w:r w:rsidRPr="00BC1291">
              <w:rPr>
                <w:rFonts w:asciiTheme="majorHAnsi" w:hAnsiTheme="majorHAnsi" w:cstheme="majorHAnsi"/>
              </w:rPr>
              <w:t>7 years after closure</w:t>
            </w:r>
          </w:p>
        </w:tc>
      </w:tr>
      <w:tr w:rsidR="00AB3293" w:rsidRPr="00BC1291" w14:paraId="6EEA1953" w14:textId="77777777">
        <w:tc>
          <w:tcPr>
            <w:tcW w:w="4320" w:type="dxa"/>
          </w:tcPr>
          <w:p w14:paraId="66802206" w14:textId="77777777" w:rsidR="00AB3293" w:rsidRPr="00BC1291" w:rsidRDefault="00000000">
            <w:pPr>
              <w:rPr>
                <w:rFonts w:asciiTheme="majorHAnsi" w:hAnsiTheme="majorHAnsi" w:cstheme="majorHAnsi"/>
              </w:rPr>
            </w:pPr>
            <w:r w:rsidRPr="00BC1291">
              <w:rPr>
                <w:rFonts w:asciiTheme="majorHAnsi" w:hAnsiTheme="majorHAnsi" w:cstheme="majorHAnsi"/>
              </w:rPr>
              <w:t>Beacon CRM service user records</w:t>
            </w:r>
          </w:p>
        </w:tc>
        <w:tc>
          <w:tcPr>
            <w:tcW w:w="4320" w:type="dxa"/>
          </w:tcPr>
          <w:p w14:paraId="5CA63272" w14:textId="77777777" w:rsidR="00AB3293" w:rsidRPr="00BC1291" w:rsidRDefault="00000000">
            <w:pPr>
              <w:rPr>
                <w:rFonts w:asciiTheme="majorHAnsi" w:hAnsiTheme="majorHAnsi" w:cstheme="majorHAnsi"/>
              </w:rPr>
            </w:pPr>
            <w:r w:rsidRPr="00BC1291">
              <w:rPr>
                <w:rFonts w:asciiTheme="majorHAnsi" w:hAnsiTheme="majorHAnsi" w:cstheme="majorHAnsi"/>
              </w:rPr>
              <w:t>7 years after closure unless longer required</w:t>
            </w:r>
          </w:p>
        </w:tc>
      </w:tr>
    </w:tbl>
    <w:p w14:paraId="25DA8428" w14:textId="77777777" w:rsidR="00AB3293" w:rsidRPr="00BC1291" w:rsidRDefault="00000000">
      <w:pPr>
        <w:pStyle w:val="Heading3"/>
        <w:rPr>
          <w:rFonts w:cstheme="majorHAnsi"/>
        </w:rPr>
      </w:pPr>
      <w:r w:rsidRPr="00BC1291">
        <w:rPr>
          <w:rFonts w:cstheme="majorHAnsi"/>
        </w:rPr>
        <w:t>Safeguarding Records</w:t>
      </w:r>
    </w:p>
    <w:tbl>
      <w:tblPr>
        <w:tblStyle w:val="TableGrid"/>
        <w:tblW w:w="0" w:type="auto"/>
        <w:tblLook w:val="04A0" w:firstRow="1" w:lastRow="0" w:firstColumn="1" w:lastColumn="0" w:noHBand="0" w:noVBand="1"/>
      </w:tblPr>
      <w:tblGrid>
        <w:gridCol w:w="4320"/>
        <w:gridCol w:w="4320"/>
      </w:tblGrid>
      <w:tr w:rsidR="00AB3293" w:rsidRPr="00BC1291" w14:paraId="33235506" w14:textId="77777777">
        <w:tc>
          <w:tcPr>
            <w:tcW w:w="4320" w:type="dxa"/>
          </w:tcPr>
          <w:p w14:paraId="4B0CC7E0"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445CB1F1"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4DE53EA4" w14:textId="77777777">
        <w:tc>
          <w:tcPr>
            <w:tcW w:w="4320" w:type="dxa"/>
          </w:tcPr>
          <w:p w14:paraId="6D81A54A" w14:textId="77777777" w:rsidR="00AB3293" w:rsidRPr="00BC1291" w:rsidRDefault="00000000">
            <w:pPr>
              <w:rPr>
                <w:rFonts w:asciiTheme="majorHAnsi" w:hAnsiTheme="majorHAnsi" w:cstheme="majorHAnsi"/>
              </w:rPr>
            </w:pPr>
            <w:r w:rsidRPr="00BC1291">
              <w:rPr>
                <w:rFonts w:asciiTheme="majorHAnsi" w:hAnsiTheme="majorHAnsi" w:cstheme="majorHAnsi"/>
              </w:rPr>
              <w:t>Adult safeguarding records</w:t>
            </w:r>
          </w:p>
        </w:tc>
        <w:tc>
          <w:tcPr>
            <w:tcW w:w="4320" w:type="dxa"/>
          </w:tcPr>
          <w:p w14:paraId="21AEE71E" w14:textId="77777777" w:rsidR="00AB3293" w:rsidRPr="00BC1291" w:rsidRDefault="00000000">
            <w:pPr>
              <w:rPr>
                <w:rFonts w:asciiTheme="majorHAnsi" w:hAnsiTheme="majorHAnsi" w:cstheme="majorHAnsi"/>
              </w:rPr>
            </w:pPr>
            <w:r w:rsidRPr="00BC1291">
              <w:rPr>
                <w:rFonts w:asciiTheme="majorHAnsi" w:hAnsiTheme="majorHAnsi" w:cstheme="majorHAnsi"/>
              </w:rPr>
              <w:t>7 years after closure</w:t>
            </w:r>
          </w:p>
        </w:tc>
      </w:tr>
      <w:tr w:rsidR="00AB3293" w:rsidRPr="00BC1291" w14:paraId="4914E894" w14:textId="77777777">
        <w:tc>
          <w:tcPr>
            <w:tcW w:w="4320" w:type="dxa"/>
          </w:tcPr>
          <w:p w14:paraId="6EA10420" w14:textId="77777777" w:rsidR="00AB3293" w:rsidRPr="00BC1291" w:rsidRDefault="00000000">
            <w:pPr>
              <w:rPr>
                <w:rFonts w:asciiTheme="majorHAnsi" w:hAnsiTheme="majorHAnsi" w:cstheme="majorHAnsi"/>
              </w:rPr>
            </w:pPr>
            <w:r w:rsidRPr="00BC1291">
              <w:rPr>
                <w:rFonts w:asciiTheme="majorHAnsi" w:hAnsiTheme="majorHAnsi" w:cstheme="majorHAnsi"/>
              </w:rPr>
              <w:t>Child safeguarding records</w:t>
            </w:r>
          </w:p>
        </w:tc>
        <w:tc>
          <w:tcPr>
            <w:tcW w:w="4320" w:type="dxa"/>
          </w:tcPr>
          <w:p w14:paraId="322824B4" w14:textId="77777777" w:rsidR="00AB3293" w:rsidRPr="00BC1291" w:rsidRDefault="00000000">
            <w:pPr>
              <w:rPr>
                <w:rFonts w:asciiTheme="majorHAnsi" w:hAnsiTheme="majorHAnsi" w:cstheme="majorHAnsi"/>
              </w:rPr>
            </w:pPr>
            <w:r w:rsidRPr="00BC1291">
              <w:rPr>
                <w:rFonts w:asciiTheme="majorHAnsi" w:hAnsiTheme="majorHAnsi" w:cstheme="majorHAnsi"/>
              </w:rPr>
              <w:t>Until age 25 or longer where advised</w:t>
            </w:r>
          </w:p>
        </w:tc>
      </w:tr>
      <w:tr w:rsidR="00AB3293" w:rsidRPr="00BC1291" w14:paraId="2D3A7B67" w14:textId="77777777">
        <w:tc>
          <w:tcPr>
            <w:tcW w:w="4320" w:type="dxa"/>
          </w:tcPr>
          <w:p w14:paraId="422B51C7" w14:textId="77777777" w:rsidR="00AB3293" w:rsidRPr="00BC1291" w:rsidRDefault="00000000">
            <w:pPr>
              <w:rPr>
                <w:rFonts w:asciiTheme="majorHAnsi" w:hAnsiTheme="majorHAnsi" w:cstheme="majorHAnsi"/>
              </w:rPr>
            </w:pPr>
            <w:r w:rsidRPr="00BC1291">
              <w:rPr>
                <w:rFonts w:asciiTheme="majorHAnsi" w:hAnsiTheme="majorHAnsi" w:cstheme="majorHAnsi"/>
              </w:rPr>
              <w:t>Serious incident records</w:t>
            </w:r>
          </w:p>
        </w:tc>
        <w:tc>
          <w:tcPr>
            <w:tcW w:w="4320" w:type="dxa"/>
          </w:tcPr>
          <w:p w14:paraId="12ED1B3C" w14:textId="77777777" w:rsidR="00AB3293" w:rsidRPr="00BC1291" w:rsidRDefault="00000000">
            <w:pPr>
              <w:rPr>
                <w:rFonts w:asciiTheme="majorHAnsi" w:hAnsiTheme="majorHAnsi" w:cstheme="majorHAnsi"/>
              </w:rPr>
            </w:pPr>
            <w:r w:rsidRPr="00BC1291">
              <w:rPr>
                <w:rFonts w:asciiTheme="majorHAnsi" w:hAnsiTheme="majorHAnsi" w:cstheme="majorHAnsi"/>
              </w:rPr>
              <w:t>10 years minimum</w:t>
            </w:r>
          </w:p>
        </w:tc>
      </w:tr>
    </w:tbl>
    <w:p w14:paraId="379CF782" w14:textId="77777777" w:rsidR="00AB3293" w:rsidRPr="00BC1291" w:rsidRDefault="00000000">
      <w:pPr>
        <w:pStyle w:val="Heading3"/>
        <w:rPr>
          <w:rFonts w:cstheme="majorHAnsi"/>
        </w:rPr>
      </w:pPr>
      <w:r w:rsidRPr="00BC1291">
        <w:rPr>
          <w:rFonts w:cstheme="majorHAnsi"/>
        </w:rPr>
        <w:t>Fundraising and Supporter Records</w:t>
      </w:r>
    </w:p>
    <w:tbl>
      <w:tblPr>
        <w:tblStyle w:val="TableGrid"/>
        <w:tblW w:w="0" w:type="auto"/>
        <w:tblLook w:val="04A0" w:firstRow="1" w:lastRow="0" w:firstColumn="1" w:lastColumn="0" w:noHBand="0" w:noVBand="1"/>
      </w:tblPr>
      <w:tblGrid>
        <w:gridCol w:w="4320"/>
        <w:gridCol w:w="4320"/>
      </w:tblGrid>
      <w:tr w:rsidR="00AB3293" w:rsidRPr="00BC1291" w14:paraId="239C82DD" w14:textId="77777777">
        <w:tc>
          <w:tcPr>
            <w:tcW w:w="4320" w:type="dxa"/>
          </w:tcPr>
          <w:p w14:paraId="1BD00EF2"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17DA0FCA"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67576525" w14:textId="77777777">
        <w:tc>
          <w:tcPr>
            <w:tcW w:w="4320" w:type="dxa"/>
          </w:tcPr>
          <w:p w14:paraId="465520E4" w14:textId="77777777" w:rsidR="00AB3293" w:rsidRPr="00BC1291" w:rsidRDefault="00000000">
            <w:pPr>
              <w:rPr>
                <w:rFonts w:asciiTheme="majorHAnsi" w:hAnsiTheme="majorHAnsi" w:cstheme="majorHAnsi"/>
              </w:rPr>
            </w:pPr>
            <w:r w:rsidRPr="00BC1291">
              <w:rPr>
                <w:rFonts w:asciiTheme="majorHAnsi" w:hAnsiTheme="majorHAnsi" w:cstheme="majorHAnsi"/>
              </w:rPr>
              <w:t>Donor records</w:t>
            </w:r>
          </w:p>
        </w:tc>
        <w:tc>
          <w:tcPr>
            <w:tcW w:w="4320" w:type="dxa"/>
          </w:tcPr>
          <w:p w14:paraId="4ADBA50B"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last contact or donation</w:t>
            </w:r>
          </w:p>
        </w:tc>
      </w:tr>
      <w:tr w:rsidR="00AB3293" w:rsidRPr="00BC1291" w14:paraId="30EAC026" w14:textId="77777777">
        <w:tc>
          <w:tcPr>
            <w:tcW w:w="4320" w:type="dxa"/>
          </w:tcPr>
          <w:p w14:paraId="1ED02797" w14:textId="77777777" w:rsidR="00AB3293" w:rsidRPr="00BC1291" w:rsidRDefault="00000000">
            <w:pPr>
              <w:rPr>
                <w:rFonts w:asciiTheme="majorHAnsi" w:hAnsiTheme="majorHAnsi" w:cstheme="majorHAnsi"/>
              </w:rPr>
            </w:pPr>
            <w:r w:rsidRPr="00BC1291">
              <w:rPr>
                <w:rFonts w:asciiTheme="majorHAnsi" w:hAnsiTheme="majorHAnsi" w:cstheme="majorHAnsi"/>
              </w:rPr>
              <w:t>Fundraising consent records</w:t>
            </w:r>
          </w:p>
        </w:tc>
        <w:tc>
          <w:tcPr>
            <w:tcW w:w="4320" w:type="dxa"/>
          </w:tcPr>
          <w:p w14:paraId="328B9BF4" w14:textId="77777777" w:rsidR="00AB3293" w:rsidRPr="00BC1291" w:rsidRDefault="00000000">
            <w:pPr>
              <w:rPr>
                <w:rFonts w:asciiTheme="majorHAnsi" w:hAnsiTheme="majorHAnsi" w:cstheme="majorHAnsi"/>
              </w:rPr>
            </w:pPr>
            <w:r w:rsidRPr="00BC1291">
              <w:rPr>
                <w:rFonts w:asciiTheme="majorHAnsi" w:hAnsiTheme="majorHAnsi" w:cstheme="majorHAnsi"/>
              </w:rPr>
              <w:t>Duration of consent plus 6 years</w:t>
            </w:r>
          </w:p>
        </w:tc>
      </w:tr>
      <w:tr w:rsidR="00AB3293" w:rsidRPr="00BC1291" w14:paraId="7593D50C" w14:textId="77777777">
        <w:tc>
          <w:tcPr>
            <w:tcW w:w="4320" w:type="dxa"/>
          </w:tcPr>
          <w:p w14:paraId="38DA49D9" w14:textId="77777777" w:rsidR="00AB3293" w:rsidRPr="00BC1291" w:rsidRDefault="00000000">
            <w:pPr>
              <w:rPr>
                <w:rFonts w:asciiTheme="majorHAnsi" w:hAnsiTheme="majorHAnsi" w:cstheme="majorHAnsi"/>
              </w:rPr>
            </w:pPr>
            <w:r w:rsidRPr="00BC1291">
              <w:rPr>
                <w:rFonts w:asciiTheme="majorHAnsi" w:hAnsiTheme="majorHAnsi" w:cstheme="majorHAnsi"/>
              </w:rPr>
              <w:t>Event participant records</w:t>
            </w:r>
          </w:p>
        </w:tc>
        <w:tc>
          <w:tcPr>
            <w:tcW w:w="4320" w:type="dxa"/>
          </w:tcPr>
          <w:p w14:paraId="294FCDB8" w14:textId="77777777" w:rsidR="00AB3293" w:rsidRPr="00BC1291" w:rsidRDefault="00000000">
            <w:pPr>
              <w:rPr>
                <w:rFonts w:asciiTheme="majorHAnsi" w:hAnsiTheme="majorHAnsi" w:cstheme="majorHAnsi"/>
              </w:rPr>
            </w:pPr>
            <w:r w:rsidRPr="00BC1291">
              <w:rPr>
                <w:rFonts w:asciiTheme="majorHAnsi" w:hAnsiTheme="majorHAnsi" w:cstheme="majorHAnsi"/>
              </w:rPr>
              <w:t>3 years after event</w:t>
            </w:r>
          </w:p>
        </w:tc>
      </w:tr>
    </w:tbl>
    <w:p w14:paraId="436118F5" w14:textId="77777777" w:rsidR="00AB3293" w:rsidRPr="00BC1291" w:rsidRDefault="00000000">
      <w:pPr>
        <w:pStyle w:val="Heading3"/>
        <w:rPr>
          <w:rFonts w:cstheme="majorHAnsi"/>
        </w:rPr>
      </w:pPr>
      <w:r w:rsidRPr="00BC1291">
        <w:rPr>
          <w:rFonts w:cstheme="majorHAnsi"/>
        </w:rPr>
        <w:t>Complaints Records</w:t>
      </w:r>
    </w:p>
    <w:tbl>
      <w:tblPr>
        <w:tblStyle w:val="TableGrid"/>
        <w:tblW w:w="0" w:type="auto"/>
        <w:tblLook w:val="04A0" w:firstRow="1" w:lastRow="0" w:firstColumn="1" w:lastColumn="0" w:noHBand="0" w:noVBand="1"/>
      </w:tblPr>
      <w:tblGrid>
        <w:gridCol w:w="4320"/>
        <w:gridCol w:w="4320"/>
      </w:tblGrid>
      <w:tr w:rsidR="00AB3293" w:rsidRPr="00BC1291" w14:paraId="556177A7" w14:textId="77777777">
        <w:tc>
          <w:tcPr>
            <w:tcW w:w="4320" w:type="dxa"/>
          </w:tcPr>
          <w:p w14:paraId="7F07428C"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5490E301"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69DB10D5" w14:textId="77777777">
        <w:tc>
          <w:tcPr>
            <w:tcW w:w="4320" w:type="dxa"/>
          </w:tcPr>
          <w:p w14:paraId="173816CA" w14:textId="77777777" w:rsidR="00AB3293" w:rsidRPr="00BC1291" w:rsidRDefault="00000000">
            <w:pPr>
              <w:rPr>
                <w:rFonts w:asciiTheme="majorHAnsi" w:hAnsiTheme="majorHAnsi" w:cstheme="majorHAnsi"/>
              </w:rPr>
            </w:pPr>
            <w:r w:rsidRPr="00BC1291">
              <w:rPr>
                <w:rFonts w:asciiTheme="majorHAnsi" w:hAnsiTheme="majorHAnsi" w:cstheme="majorHAnsi"/>
              </w:rPr>
              <w:t>General complaints</w:t>
            </w:r>
          </w:p>
        </w:tc>
        <w:tc>
          <w:tcPr>
            <w:tcW w:w="4320" w:type="dxa"/>
          </w:tcPr>
          <w:p w14:paraId="5DCF040B"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closure</w:t>
            </w:r>
          </w:p>
        </w:tc>
      </w:tr>
      <w:tr w:rsidR="00AB3293" w:rsidRPr="00BC1291" w14:paraId="73B26D3F" w14:textId="77777777">
        <w:tc>
          <w:tcPr>
            <w:tcW w:w="4320" w:type="dxa"/>
          </w:tcPr>
          <w:p w14:paraId="1421985E" w14:textId="77777777" w:rsidR="00AB3293" w:rsidRPr="00BC1291" w:rsidRDefault="00000000">
            <w:pPr>
              <w:rPr>
                <w:rFonts w:asciiTheme="majorHAnsi" w:hAnsiTheme="majorHAnsi" w:cstheme="majorHAnsi"/>
              </w:rPr>
            </w:pPr>
            <w:r w:rsidRPr="00BC1291">
              <w:rPr>
                <w:rFonts w:asciiTheme="majorHAnsi" w:hAnsiTheme="majorHAnsi" w:cstheme="majorHAnsi"/>
              </w:rPr>
              <w:t>Data protection complaints</w:t>
            </w:r>
          </w:p>
        </w:tc>
        <w:tc>
          <w:tcPr>
            <w:tcW w:w="4320" w:type="dxa"/>
          </w:tcPr>
          <w:p w14:paraId="67DF1195" w14:textId="77777777" w:rsidR="00AB3293" w:rsidRPr="00BC1291" w:rsidRDefault="00000000">
            <w:pPr>
              <w:rPr>
                <w:rFonts w:asciiTheme="majorHAnsi" w:hAnsiTheme="majorHAnsi" w:cstheme="majorHAnsi"/>
              </w:rPr>
            </w:pPr>
            <w:r w:rsidRPr="00BC1291">
              <w:rPr>
                <w:rFonts w:asciiTheme="majorHAnsi" w:hAnsiTheme="majorHAnsi" w:cstheme="majorHAnsi"/>
              </w:rPr>
              <w:t>6 years after closure</w:t>
            </w:r>
          </w:p>
        </w:tc>
      </w:tr>
    </w:tbl>
    <w:p w14:paraId="1F160E36" w14:textId="77777777" w:rsidR="00AB3293" w:rsidRPr="00BC1291" w:rsidRDefault="00000000">
      <w:pPr>
        <w:pStyle w:val="Heading3"/>
        <w:rPr>
          <w:rFonts w:cstheme="majorHAnsi"/>
        </w:rPr>
      </w:pPr>
      <w:r w:rsidRPr="00BC1291">
        <w:rPr>
          <w:rFonts w:cstheme="majorHAnsi"/>
        </w:rPr>
        <w:t>Website and Communication Records</w:t>
      </w:r>
    </w:p>
    <w:tbl>
      <w:tblPr>
        <w:tblStyle w:val="TableGrid"/>
        <w:tblW w:w="0" w:type="auto"/>
        <w:tblLook w:val="04A0" w:firstRow="1" w:lastRow="0" w:firstColumn="1" w:lastColumn="0" w:noHBand="0" w:noVBand="1"/>
      </w:tblPr>
      <w:tblGrid>
        <w:gridCol w:w="4320"/>
        <w:gridCol w:w="4320"/>
      </w:tblGrid>
      <w:tr w:rsidR="00AB3293" w:rsidRPr="00BC1291" w14:paraId="43D7A134" w14:textId="77777777">
        <w:tc>
          <w:tcPr>
            <w:tcW w:w="4320" w:type="dxa"/>
          </w:tcPr>
          <w:p w14:paraId="2C2BFEEA" w14:textId="77777777" w:rsidR="00AB3293" w:rsidRPr="00BC1291" w:rsidRDefault="00000000">
            <w:pPr>
              <w:rPr>
                <w:rFonts w:asciiTheme="majorHAnsi" w:hAnsiTheme="majorHAnsi" w:cstheme="majorHAnsi"/>
              </w:rPr>
            </w:pPr>
            <w:r w:rsidRPr="00BC1291">
              <w:rPr>
                <w:rFonts w:asciiTheme="majorHAnsi" w:hAnsiTheme="majorHAnsi" w:cstheme="majorHAnsi"/>
              </w:rPr>
              <w:t>Record Type</w:t>
            </w:r>
          </w:p>
        </w:tc>
        <w:tc>
          <w:tcPr>
            <w:tcW w:w="4320" w:type="dxa"/>
          </w:tcPr>
          <w:p w14:paraId="2EDF33EC" w14:textId="77777777" w:rsidR="00AB3293" w:rsidRPr="00BC1291" w:rsidRDefault="00000000">
            <w:pPr>
              <w:rPr>
                <w:rFonts w:asciiTheme="majorHAnsi" w:hAnsiTheme="majorHAnsi" w:cstheme="majorHAnsi"/>
              </w:rPr>
            </w:pPr>
            <w:r w:rsidRPr="00BC1291">
              <w:rPr>
                <w:rFonts w:asciiTheme="majorHAnsi" w:hAnsiTheme="majorHAnsi" w:cstheme="majorHAnsi"/>
              </w:rPr>
              <w:t>Retention Period</w:t>
            </w:r>
          </w:p>
        </w:tc>
      </w:tr>
      <w:tr w:rsidR="00AB3293" w:rsidRPr="00BC1291" w14:paraId="2094FCFD" w14:textId="77777777">
        <w:tc>
          <w:tcPr>
            <w:tcW w:w="4320" w:type="dxa"/>
          </w:tcPr>
          <w:p w14:paraId="425011C5" w14:textId="77777777" w:rsidR="00AB3293" w:rsidRPr="00BC1291" w:rsidRDefault="00000000">
            <w:pPr>
              <w:rPr>
                <w:rFonts w:asciiTheme="majorHAnsi" w:hAnsiTheme="majorHAnsi" w:cstheme="majorHAnsi"/>
              </w:rPr>
            </w:pPr>
            <w:r w:rsidRPr="00BC1291">
              <w:rPr>
                <w:rFonts w:asciiTheme="majorHAnsi" w:hAnsiTheme="majorHAnsi" w:cstheme="majorHAnsi"/>
              </w:rPr>
              <w:t>Website enquiries</w:t>
            </w:r>
          </w:p>
        </w:tc>
        <w:tc>
          <w:tcPr>
            <w:tcW w:w="4320" w:type="dxa"/>
          </w:tcPr>
          <w:p w14:paraId="14C69028" w14:textId="77777777" w:rsidR="00AB3293" w:rsidRPr="00BC1291" w:rsidRDefault="00000000">
            <w:pPr>
              <w:rPr>
                <w:rFonts w:asciiTheme="majorHAnsi" w:hAnsiTheme="majorHAnsi" w:cstheme="majorHAnsi"/>
              </w:rPr>
            </w:pPr>
            <w:r w:rsidRPr="00BC1291">
              <w:rPr>
                <w:rFonts w:asciiTheme="majorHAnsi" w:hAnsiTheme="majorHAnsi" w:cstheme="majorHAnsi"/>
              </w:rPr>
              <w:t>2 years</w:t>
            </w:r>
          </w:p>
        </w:tc>
      </w:tr>
      <w:tr w:rsidR="00AB3293" w:rsidRPr="00BC1291" w14:paraId="4554D80E" w14:textId="77777777">
        <w:tc>
          <w:tcPr>
            <w:tcW w:w="4320" w:type="dxa"/>
          </w:tcPr>
          <w:p w14:paraId="0EBA4111" w14:textId="77777777" w:rsidR="00AB3293" w:rsidRPr="00BC1291" w:rsidRDefault="00000000">
            <w:pPr>
              <w:rPr>
                <w:rFonts w:asciiTheme="majorHAnsi" w:hAnsiTheme="majorHAnsi" w:cstheme="majorHAnsi"/>
              </w:rPr>
            </w:pPr>
            <w:r w:rsidRPr="00BC1291">
              <w:rPr>
                <w:rFonts w:asciiTheme="majorHAnsi" w:hAnsiTheme="majorHAnsi" w:cstheme="majorHAnsi"/>
              </w:rPr>
              <w:t>Marketing preferences and consent records</w:t>
            </w:r>
          </w:p>
        </w:tc>
        <w:tc>
          <w:tcPr>
            <w:tcW w:w="4320" w:type="dxa"/>
          </w:tcPr>
          <w:p w14:paraId="1A5EE3C6" w14:textId="77777777" w:rsidR="00AB3293" w:rsidRPr="00BC1291" w:rsidRDefault="00000000">
            <w:pPr>
              <w:rPr>
                <w:rFonts w:asciiTheme="majorHAnsi" w:hAnsiTheme="majorHAnsi" w:cstheme="majorHAnsi"/>
              </w:rPr>
            </w:pPr>
            <w:r w:rsidRPr="00BC1291">
              <w:rPr>
                <w:rFonts w:asciiTheme="majorHAnsi" w:hAnsiTheme="majorHAnsi" w:cstheme="majorHAnsi"/>
              </w:rPr>
              <w:t>Duration of consent plus 6 years</w:t>
            </w:r>
          </w:p>
        </w:tc>
      </w:tr>
    </w:tbl>
    <w:p w14:paraId="62F1629B" w14:textId="77777777" w:rsidR="00AB3293" w:rsidRPr="00BC1291" w:rsidRDefault="00000000">
      <w:pPr>
        <w:pStyle w:val="Heading2"/>
        <w:rPr>
          <w:rFonts w:cstheme="majorHAnsi"/>
        </w:rPr>
      </w:pPr>
      <w:r w:rsidRPr="00BC1291">
        <w:rPr>
          <w:rFonts w:cstheme="majorHAnsi"/>
        </w:rPr>
        <w:t>9. Beacon CRM</w:t>
      </w:r>
    </w:p>
    <w:p w14:paraId="6160C61F" w14:textId="77777777" w:rsidR="00AB3293" w:rsidRPr="00BC1291" w:rsidRDefault="00000000">
      <w:pPr>
        <w:rPr>
          <w:rFonts w:asciiTheme="majorHAnsi" w:hAnsiTheme="majorHAnsi" w:cstheme="majorHAnsi"/>
        </w:rPr>
      </w:pPr>
      <w:r w:rsidRPr="00BC1291">
        <w:rPr>
          <w:rFonts w:asciiTheme="majorHAnsi" w:hAnsiTheme="majorHAnsi" w:cstheme="majorHAnsi"/>
        </w:rPr>
        <w:t>Beacon CRM is the charity's primary client and case management system. Records stored within Beacon CRM are subject to the retention periods specified in this policy.</w:t>
      </w:r>
    </w:p>
    <w:p w14:paraId="589D9017" w14:textId="77777777" w:rsidR="00AB3293" w:rsidRPr="00BC1291" w:rsidRDefault="00000000">
      <w:pPr>
        <w:pStyle w:val="Heading2"/>
        <w:rPr>
          <w:rFonts w:cstheme="majorHAnsi"/>
        </w:rPr>
      </w:pPr>
      <w:r w:rsidRPr="00BC1291">
        <w:rPr>
          <w:rFonts w:cstheme="majorHAnsi"/>
        </w:rPr>
        <w:t>10. Monitoring and Review</w:t>
      </w:r>
    </w:p>
    <w:p w14:paraId="2FADB3B9" w14:textId="77777777" w:rsidR="00AB3293" w:rsidRPr="00BC1291" w:rsidRDefault="00000000">
      <w:pPr>
        <w:rPr>
          <w:rFonts w:asciiTheme="majorHAnsi" w:hAnsiTheme="majorHAnsi" w:cstheme="majorHAnsi"/>
        </w:rPr>
      </w:pPr>
      <w:r w:rsidRPr="00BC1291">
        <w:rPr>
          <w:rFonts w:asciiTheme="majorHAnsi" w:hAnsiTheme="majorHAnsi" w:cstheme="majorHAnsi"/>
        </w:rPr>
        <w:t>The charity will periodically review records to ensure compliance with retention requirements.</w:t>
      </w:r>
    </w:p>
    <w:p w14:paraId="35D4933B" w14:textId="77777777" w:rsidR="00AB3293" w:rsidRPr="00BC1291" w:rsidRDefault="00000000">
      <w:pPr>
        <w:pStyle w:val="Heading2"/>
        <w:rPr>
          <w:rFonts w:cstheme="majorHAnsi"/>
        </w:rPr>
      </w:pPr>
      <w:r w:rsidRPr="00BC1291">
        <w:rPr>
          <w:rFonts w:cstheme="majorHAnsi"/>
        </w:rPr>
        <w:t>11. Related Documents</w:t>
      </w:r>
    </w:p>
    <w:p w14:paraId="3720FBCD" w14:textId="77777777" w:rsidR="00AB3293" w:rsidRPr="00BC1291" w:rsidRDefault="00000000">
      <w:pPr>
        <w:rPr>
          <w:rFonts w:asciiTheme="majorHAnsi" w:hAnsiTheme="majorHAnsi" w:cstheme="majorHAnsi"/>
        </w:rPr>
      </w:pPr>
      <w:r w:rsidRPr="00BC1291">
        <w:rPr>
          <w:rFonts w:asciiTheme="majorHAnsi" w:hAnsiTheme="majorHAnsi" w:cstheme="majorHAnsi"/>
        </w:rPr>
        <w:t>Data Protection Policy, Information Security Policy, Information Sharing Policy, Privacy Notice, Safeguarding Policy and Complaints Policy.</w:t>
      </w:r>
    </w:p>
    <w:sectPr w:rsidR="00AB3293" w:rsidRPr="00BC12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8754687">
    <w:abstractNumId w:val="8"/>
  </w:num>
  <w:num w:numId="2" w16cid:durableId="2105033210">
    <w:abstractNumId w:val="6"/>
  </w:num>
  <w:num w:numId="3" w16cid:durableId="1288857798">
    <w:abstractNumId w:val="5"/>
  </w:num>
  <w:num w:numId="4" w16cid:durableId="2083944275">
    <w:abstractNumId w:val="4"/>
  </w:num>
  <w:num w:numId="5" w16cid:durableId="949163162">
    <w:abstractNumId w:val="7"/>
  </w:num>
  <w:num w:numId="6" w16cid:durableId="1917281771">
    <w:abstractNumId w:val="3"/>
  </w:num>
  <w:num w:numId="7" w16cid:durableId="1100564461">
    <w:abstractNumId w:val="2"/>
  </w:num>
  <w:num w:numId="8" w16cid:durableId="985744821">
    <w:abstractNumId w:val="1"/>
  </w:num>
  <w:num w:numId="9" w16cid:durableId="53211111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23EB"/>
    <w:rsid w:val="0029639D"/>
    <w:rsid w:val="00326F90"/>
    <w:rsid w:val="009922C5"/>
    <w:rsid w:val="00AA1D8D"/>
    <w:rsid w:val="00AB3293"/>
    <w:rsid w:val="00B47730"/>
    <w:rsid w:val="00BC129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F2A80A7-B465-764E-829D-5919B072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3394</Characters>
  <Application>Microsoft Office Word</Application>
  <DocSecurity>0</DocSecurity>
  <Lines>135</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Support</cp:lastModifiedBy>
  <cp:revision>3</cp:revision>
  <dcterms:created xsi:type="dcterms:W3CDTF">2013-12-23T23:15:00Z</dcterms:created>
  <dcterms:modified xsi:type="dcterms:W3CDTF">2026-06-18T15:15:00Z</dcterms:modified>
  <cp:category/>
</cp:coreProperties>
</file>